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B30E8" w14:textId="77777777" w:rsidR="0090283F" w:rsidRDefault="0090283F">
      <w:r>
        <w:t>Response to Isometric — BOL Weighing Practice</w:t>
      </w:r>
    </w:p>
    <w:p w14:paraId="0FFFF77F" w14:textId="77777777" w:rsidR="0090283F" w:rsidRDefault="0090283F"/>
    <w:p w14:paraId="69C673FD" w14:textId="77777777" w:rsidR="0090283F" w:rsidRDefault="0090283F">
      <w:r>
        <w:t>Thanks for the detailed response. A few points in reply:</w:t>
      </w:r>
    </w:p>
    <w:p w14:paraId="7D5C9B3B" w14:textId="77777777" w:rsidR="0090283F" w:rsidRDefault="0090283F"/>
    <w:p w14:paraId="64BC1CF8" w14:textId="77777777" w:rsidR="0090283F" w:rsidRDefault="0090283F">
      <w:r>
        <w:t xml:space="preserve">On the materiality test framing: Our original framing drew on the second S in SSR — gross CDR is the project's carbon Sink, MOBI determines its magnitude, and a change in how MOBI is measured affects the Sink quantification. We understand that §5.0 is designed for SSR boundary decisions rather than methodology changes, so we're not looking to litigate that reading. The more direct hook is §4.3 of the Isometric Standard, which states: "The threshold for Materiality, considering the totality of all omissions, errors and </w:t>
      </w:r>
      <w:proofErr w:type="gramStart"/>
      <w:r>
        <w:t>mis-statements</w:t>
      </w:r>
      <w:proofErr w:type="gramEnd"/>
      <w:r>
        <w:t>, is 5% of net Removal or Reduction for all Projects." A methodology difference in how MOBI is measured is precisely what §4.3 is designed to evaluate. The demonstrated delta between BOL-only and the current dual-weighing practice is 0.138% of gross CDR — well within the 5% threshold by a factor of 36.</w:t>
      </w:r>
    </w:p>
    <w:p w14:paraId="1FB03D92" w14:textId="77777777" w:rsidR="0090283F" w:rsidRDefault="0090283F"/>
    <w:p w14:paraId="4736DDF5" w14:textId="77777777" w:rsidR="0090283F" w:rsidRDefault="0090283F">
      <w:r>
        <w:t xml:space="preserve">On gross vs. net removals: §4.3 specifies the threshold against net Removal: "5% of net Removal or Reduction for all Projects." The net-basis delta will be modestly higher than </w:t>
      </w:r>
      <w:proofErr w:type="gramStart"/>
      <w:r>
        <w:t>0.138%, but</w:t>
      </w:r>
      <w:proofErr w:type="gramEnd"/>
      <w:r>
        <w:t xml:space="preserve"> remains well within the 5% threshold.</w:t>
      </w:r>
    </w:p>
    <w:p w14:paraId="1EEDEAA1" w14:textId="77777777" w:rsidR="0090283F" w:rsidRDefault="0090283F"/>
    <w:p w14:paraId="284EE82C" w14:textId="77777777" w:rsidR="0090283F" w:rsidRDefault="0090283F">
      <w:r>
        <w:t>On the outlier batches: The 3–4× characterization isn't right. Double-weighing involves four discrete measurements: BOL tare, BOL loaded, near-site tare, near-site loaded. At 72.5 kg certified scale uncertainty per event (NIST HB 44-2026, Class III L), the theoretical worst-case for a single delivery is 290 kg. Batch 2-123 exceeds that by 40.86 kg (1.14× the theoretical max); batch 2-151 by 110.39 kg (1.38×). The 3–4× figure reflects a two-measurement reference, not four. The small excess over instrument tolerance is consistent with normal operational variability in repeated physical truck loading.</w:t>
      </w:r>
    </w:p>
    <w:p w14:paraId="762DB6F9" w14:textId="77777777" w:rsidR="0090283F" w:rsidRDefault="0090283F"/>
    <w:p w14:paraId="52D16A3D" w14:textId="77777777" w:rsidR="002B5636" w:rsidRDefault="0090283F">
      <w:r>
        <w:t xml:space="preserve">The underlying issue: Double-weighing for AECN direct-truck deliveries was implemented to detect salting. That practice is no longer in effect. The Feb–Mar 2026 dataset shows that in its absence, near-site weighing introduces noise rather than verification value: 76% of 42 batches show near-site scale reading higher than BOL, which is physically impossible. If near-site weighing were eliminated across all removals verified this year, the gross CDR impact is 0.138% — well within the §4.3 threshold of "5% of net Removal or Reduction for </w:t>
      </w:r>
      <w:r>
        <w:lastRenderedPageBreak/>
        <w:t>all Projects" on any net basis. The two higher-delta batches bias the aggregate upward, and it is still immaterial. BOL, issued at point of loading, is the more reliable single authoritative measurement for unsalted bio-oil.</w:t>
      </w:r>
    </w:p>
    <w:sectPr w:rsidR="002B56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83F"/>
    <w:rsid w:val="002B5636"/>
    <w:rsid w:val="003F59B4"/>
    <w:rsid w:val="007427AA"/>
    <w:rsid w:val="0090283F"/>
    <w:rsid w:val="00941FAF"/>
    <w:rsid w:val="00AD7475"/>
    <w:rsid w:val="00ED2F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BD27C5"/>
  <w15:chartTrackingRefBased/>
  <w15:docId w15:val="{F140AEDF-9B13-2742-9793-0696ECA5D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28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28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28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28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28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28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28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28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28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28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28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28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28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28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28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28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28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283F"/>
    <w:rPr>
      <w:rFonts w:eastAsiaTheme="majorEastAsia" w:cstheme="majorBidi"/>
      <w:color w:val="272727" w:themeColor="text1" w:themeTint="D8"/>
    </w:rPr>
  </w:style>
  <w:style w:type="paragraph" w:styleId="Title">
    <w:name w:val="Title"/>
    <w:basedOn w:val="Normal"/>
    <w:next w:val="Normal"/>
    <w:link w:val="TitleChar"/>
    <w:uiPriority w:val="10"/>
    <w:qFormat/>
    <w:rsid w:val="009028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28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28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28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283F"/>
    <w:pPr>
      <w:spacing w:before="160"/>
      <w:jc w:val="center"/>
    </w:pPr>
    <w:rPr>
      <w:i/>
      <w:iCs/>
      <w:color w:val="404040" w:themeColor="text1" w:themeTint="BF"/>
    </w:rPr>
  </w:style>
  <w:style w:type="character" w:customStyle="1" w:styleId="QuoteChar">
    <w:name w:val="Quote Char"/>
    <w:basedOn w:val="DefaultParagraphFont"/>
    <w:link w:val="Quote"/>
    <w:uiPriority w:val="29"/>
    <w:rsid w:val="0090283F"/>
    <w:rPr>
      <w:i/>
      <w:iCs/>
      <w:color w:val="404040" w:themeColor="text1" w:themeTint="BF"/>
    </w:rPr>
  </w:style>
  <w:style w:type="paragraph" w:styleId="ListParagraph">
    <w:name w:val="List Paragraph"/>
    <w:basedOn w:val="Normal"/>
    <w:uiPriority w:val="34"/>
    <w:qFormat/>
    <w:rsid w:val="0090283F"/>
    <w:pPr>
      <w:ind w:left="720"/>
      <w:contextualSpacing/>
    </w:pPr>
  </w:style>
  <w:style w:type="character" w:styleId="IntenseEmphasis">
    <w:name w:val="Intense Emphasis"/>
    <w:basedOn w:val="DefaultParagraphFont"/>
    <w:uiPriority w:val="21"/>
    <w:qFormat/>
    <w:rsid w:val="0090283F"/>
    <w:rPr>
      <w:i/>
      <w:iCs/>
      <w:color w:val="0F4761" w:themeColor="accent1" w:themeShade="BF"/>
    </w:rPr>
  </w:style>
  <w:style w:type="paragraph" w:styleId="IntenseQuote">
    <w:name w:val="Intense Quote"/>
    <w:basedOn w:val="Normal"/>
    <w:next w:val="Normal"/>
    <w:link w:val="IntenseQuoteChar"/>
    <w:uiPriority w:val="30"/>
    <w:qFormat/>
    <w:rsid w:val="009028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283F"/>
    <w:rPr>
      <w:i/>
      <w:iCs/>
      <w:color w:val="0F4761" w:themeColor="accent1" w:themeShade="BF"/>
    </w:rPr>
  </w:style>
  <w:style w:type="character" w:styleId="IntenseReference">
    <w:name w:val="Intense Reference"/>
    <w:basedOn w:val="DefaultParagraphFont"/>
    <w:uiPriority w:val="32"/>
    <w:qFormat/>
    <w:rsid w:val="009028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380</Words>
  <Characters>2169</Characters>
  <Application>Microsoft Office Word</Application>
  <DocSecurity>0</DocSecurity>
  <Lines>18</Lines>
  <Paragraphs>5</Paragraphs>
  <ScaleCrop>false</ScaleCrop>
  <Company/>
  <LinksUpToDate>false</LinksUpToDate>
  <CharactersWithSpaces>2544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Bernard Lavine</dc:creator>
  <cp:keywords/>
  <dc:description/>
  <cp:lastModifiedBy>Max Bernard Lavine</cp:lastModifiedBy>
  <cp:revision>1</cp:revision>
  <dcterms:created xsi:type="dcterms:W3CDTF">2026-05-20T17:38:00Z</dcterms:created>
  <dcterms:modified xsi:type="dcterms:W3CDTF">2026-05-20T17:38:00Z</dcterms:modified>
</cp:coreProperties>
</file>