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EDD4" w14:textId="77777777" w:rsidR="0065473A" w:rsidRDefault="0065473A">
      <w:r>
        <w:t>Isometric Protocol: Project Ownership of Supply Chain Assets</w:t>
      </w:r>
    </w:p>
    <w:p w14:paraId="2EBBB575" w14:textId="77777777" w:rsidR="0065473A" w:rsidRDefault="0065473A">
      <w:r>
        <w:t>Analysis for Charm Industrial — May 2026</w:t>
      </w:r>
    </w:p>
    <w:p w14:paraId="722D225E" w14:textId="77777777" w:rsidR="0065473A" w:rsidRDefault="0065473A"/>
    <w:p w14:paraId="488C5A52" w14:textId="77777777" w:rsidR="0065473A" w:rsidRDefault="0065473A">
      <w:r>
        <w:t>This memo addresses four questions about how the Isometric methodology treats project ownership of upstream supply chain entities (foresters, pyrolysis facilities) and holding company structures. All quotes are verbatim from primary source PDFs read in this session.</w:t>
      </w:r>
    </w:p>
    <w:p w14:paraId="4B71E477" w14:textId="77777777" w:rsidR="0065473A" w:rsidRDefault="0065473A"/>
    <w:p w14:paraId="6B56798D" w14:textId="77777777" w:rsidR="0065473A" w:rsidRDefault="0065473A">
      <w:r>
        <w:t>─────────────────────────────────────────────────────────────────────────</w:t>
      </w:r>
    </w:p>
    <w:p w14:paraId="6F820BA2" w14:textId="77777777" w:rsidR="0065473A" w:rsidRDefault="0065473A">
      <w:r>
        <w:t>1. VERTICAL INTEGRATION INTO A FORESTER OR PYROLYSIS FACILITY</w:t>
      </w:r>
    </w:p>
    <w:p w14:paraId="6B0537F7" w14:textId="77777777" w:rsidR="0065473A" w:rsidRDefault="0065473A">
      <w:r>
        <w:t>─────────────────────────────────────────────────────────────────────────</w:t>
      </w:r>
    </w:p>
    <w:p w14:paraId="4240F125" w14:textId="77777777" w:rsidR="0065473A" w:rsidRDefault="0065473A"/>
    <w:p w14:paraId="5070005E" w14:textId="77777777" w:rsidR="0065473A" w:rsidRDefault="0065473A">
      <w:r>
        <w:t>The protocols explicitly permit it. The operative requirement is contractual, not structural.</w:t>
      </w:r>
    </w:p>
    <w:p w14:paraId="73CAED83" w14:textId="77777777" w:rsidR="0065473A" w:rsidRDefault="0065473A"/>
    <w:p w14:paraId="4B06B2D9" w14:textId="77777777" w:rsidR="0065473A" w:rsidRDefault="0065473A">
      <w:r>
        <w:t>Isometric Standard v2.0, §3.1 Ownership:</w:t>
      </w:r>
    </w:p>
    <w:p w14:paraId="5B081D33" w14:textId="77777777" w:rsidR="0065473A" w:rsidRDefault="0065473A"/>
    <w:p w14:paraId="61551CB8" w14:textId="77777777" w:rsidR="0065473A" w:rsidRDefault="0065473A">
      <w:r>
        <w:t xml:space="preserve">  "These requirements do not preclude the project activity from involving multiple underlying entities (e.g., subsidiaries, special purpose entities or site owners)."</w:t>
      </w:r>
    </w:p>
    <w:p w14:paraId="193BADF7" w14:textId="77777777" w:rsidR="0065473A" w:rsidRDefault="0065473A"/>
    <w:p w14:paraId="218D9E85" w14:textId="77777777" w:rsidR="0065473A" w:rsidRDefault="0065473A">
      <w:r>
        <w:t xml:space="preserve">  "Ownership must be defined in contracts between the Project Proponent and other Project participants, which may include, for example, suppliers of Feedstocks, transportation and logistics companies, and/or storage site owners and operators."</w:t>
      </w:r>
    </w:p>
    <w:p w14:paraId="51071A39" w14:textId="77777777" w:rsidR="0065473A" w:rsidRDefault="0065473A"/>
    <w:p w14:paraId="1885E89B" w14:textId="77777777" w:rsidR="0065473A" w:rsidRDefault="0065473A">
      <w:r>
        <w:t>Bio-oil Geological Storage Protocol, §6.3 Ownership:</w:t>
      </w:r>
    </w:p>
    <w:p w14:paraId="64394B5D" w14:textId="77777777" w:rsidR="0065473A" w:rsidRDefault="0065473A"/>
    <w:p w14:paraId="050D0C73" w14:textId="77777777" w:rsidR="0065473A" w:rsidRDefault="0065473A">
      <w:r>
        <w:t xml:space="preserve">  "CDR via bio-oil production and injection is often a result of a multi-step process (such as biomass growth, harvesting, transport, conversion, injection, and storage), with activities in each step managed and operated by a different operator, company, or owner. When there are multiple parties involved in the process (e.g., forestry owner or injection site operator), </w:t>
      </w:r>
      <w:r>
        <w:lastRenderedPageBreak/>
        <w:t xml:space="preserve">and to avoid double counting of net </w:t>
      </w:r>
      <w:proofErr w:type="spellStart"/>
      <w:r>
        <w:t>CO₂e</w:t>
      </w:r>
      <w:proofErr w:type="spellEnd"/>
      <w:r>
        <w:t xml:space="preserve"> removals, a single Project Proponent must be specified as the sole owner of the Credits. Contracts must comply with all requirements defined in Section 3.1 of the Isometric Standard."</w:t>
      </w:r>
    </w:p>
    <w:p w14:paraId="60A34D33" w14:textId="77777777" w:rsidR="0065473A" w:rsidRDefault="0065473A"/>
    <w:p w14:paraId="73D58AEB" w14:textId="77777777" w:rsidR="0065473A" w:rsidRDefault="0065473A">
      <w:r>
        <w:t>Owning the forester or pyrolysis facility doesn't change the structural requirements — the same contracts are needed. They become intra-entity or parent-subsidiary agreements rather than third-party ones.</w:t>
      </w:r>
    </w:p>
    <w:p w14:paraId="623F6111" w14:textId="77777777" w:rsidR="0065473A" w:rsidRDefault="0065473A"/>
    <w:p w14:paraId="347BA138" w14:textId="77777777" w:rsidR="0065473A" w:rsidRDefault="0065473A">
      <w:r>
        <w:t>─────────────────────────────────────────────────────────────────────────</w:t>
      </w:r>
    </w:p>
    <w:p w14:paraId="05E4A53C" w14:textId="77777777" w:rsidR="0065473A" w:rsidRDefault="0065473A">
      <w:r>
        <w:t>2. COUNTERFACTUAL TREATMENT — EQUITY STAKE, ARM'S-LENGTH CUSTOMER</w:t>
      </w:r>
    </w:p>
    <w:p w14:paraId="2FA391A4" w14:textId="77777777" w:rsidR="0065473A" w:rsidRDefault="0065473A">
      <w:r>
        <w:t>─────────────────────────────────────────────────────────────────────────</w:t>
      </w:r>
    </w:p>
    <w:p w14:paraId="311705D0" w14:textId="77777777" w:rsidR="0065473A" w:rsidRDefault="0065473A"/>
    <w:p w14:paraId="5B46D01B" w14:textId="77777777" w:rsidR="0065473A" w:rsidRDefault="0065473A">
      <w:r>
        <w:t>No protocol language addresses this scenario directly. The counterfactual framework operates on feedstock fate, not supplier ownership.</w:t>
      </w:r>
    </w:p>
    <w:p w14:paraId="46AA89F4" w14:textId="77777777" w:rsidR="0065473A" w:rsidRDefault="0065473A"/>
    <w:p w14:paraId="177B2FEF" w14:textId="77777777" w:rsidR="0065473A" w:rsidRDefault="0065473A">
      <w:r>
        <w:t>Bio-oil Geological Storage Protocol, §7.2 Baseline/Counterfactual:</w:t>
      </w:r>
    </w:p>
    <w:p w14:paraId="6BEA9294" w14:textId="77777777" w:rsidR="0065473A" w:rsidRDefault="0065473A"/>
    <w:p w14:paraId="21061ECB" w14:textId="77777777" w:rsidR="0065473A" w:rsidRDefault="0065473A">
      <w:r>
        <w:t xml:space="preserve">  "The baseline scenario for bio-oil projects assumes the activities associated with the bio-oil project do not take place and any infrastructure is not built. The counterfactual is the CO₂ stored in the biomass feedstock that would have remained durably stored in the biomass in the absence of the project."</w:t>
      </w:r>
    </w:p>
    <w:p w14:paraId="02D8224C" w14:textId="77777777" w:rsidR="0065473A" w:rsidRDefault="0065473A"/>
    <w:p w14:paraId="38A87B34" w14:textId="77777777" w:rsidR="0065473A" w:rsidRDefault="0065473A">
      <w:r>
        <w:t>Biomass Feedstock Accounting v1.3, Introduction:</w:t>
      </w:r>
    </w:p>
    <w:p w14:paraId="328B3935" w14:textId="77777777" w:rsidR="0065473A" w:rsidRDefault="0065473A"/>
    <w:p w14:paraId="221E8364" w14:textId="77777777" w:rsidR="0065473A" w:rsidRDefault="0065473A">
      <w:r>
        <w:t xml:space="preserve">  "Every Project Proponent must consider specific alternative uses of feedstocks that would have occurred in the absence of the Project."</w:t>
      </w:r>
    </w:p>
    <w:p w14:paraId="07A364B4" w14:textId="77777777" w:rsidR="0065473A" w:rsidRDefault="0065473A"/>
    <w:p w14:paraId="225B0AE9" w14:textId="77777777" w:rsidR="0065473A" w:rsidRDefault="0065473A">
      <w:r>
        <w:t xml:space="preserve">The counterfactual question </w:t>
      </w:r>
      <w:proofErr w:type="gramStart"/>
      <w:r>
        <w:t>is:</w:t>
      </w:r>
      <w:proofErr w:type="gramEnd"/>
      <w:r>
        <w:t xml:space="preserve"> what would have happened to the biomass — not what would have happened to the entity that supplied it. Partial equity in a supplier that </w:t>
      </w:r>
      <w:r>
        <w:lastRenderedPageBreak/>
        <w:t>continues operating its existing line of business with multiple customers doesn't change that analysis.</w:t>
      </w:r>
    </w:p>
    <w:p w14:paraId="19BE44FE" w14:textId="77777777" w:rsidR="0065473A" w:rsidRDefault="0065473A"/>
    <w:p w14:paraId="33698E87" w14:textId="77777777" w:rsidR="0065473A" w:rsidRDefault="0065473A">
      <w:r>
        <w:t>WATCH-POINT — Financial Additionality</w:t>
      </w:r>
    </w:p>
    <w:p w14:paraId="738DAB1B" w14:textId="77777777" w:rsidR="0065473A" w:rsidRDefault="0065473A"/>
    <w:p w14:paraId="1CEA1163" w14:textId="77777777" w:rsidR="0065473A" w:rsidRDefault="0065473A">
      <w:r>
        <w:t>If an equity stake in the pyrolysis operator generates revenue streams that make the CDR project economically viable without carbon finance, that can trigger an additionality review.</w:t>
      </w:r>
    </w:p>
    <w:p w14:paraId="5AA9D011" w14:textId="77777777" w:rsidR="0065473A" w:rsidRDefault="0065473A"/>
    <w:p w14:paraId="3F9FF27E" w14:textId="77777777" w:rsidR="0065473A" w:rsidRDefault="0065473A">
      <w:r>
        <w:t>Isometric Standard v2.0, §3.5.2 Financial Additionality Considerations:</w:t>
      </w:r>
    </w:p>
    <w:p w14:paraId="7626AF33" w14:textId="77777777" w:rsidR="0065473A" w:rsidRDefault="0065473A"/>
    <w:p w14:paraId="451C3927" w14:textId="77777777" w:rsidR="0065473A" w:rsidRDefault="0065473A">
      <w:r>
        <w:t xml:space="preserve">  "The Project can be considered to demonstrate Financial Additionality if Removals and/or Reductions are the main purpose and only source of revenue of the Project. Otherwise, the Project must demonstrate that economic barriers would prevent Project implementation in the absence of Carbon Finance."</w:t>
      </w:r>
    </w:p>
    <w:p w14:paraId="66C97025" w14:textId="77777777" w:rsidR="0065473A" w:rsidRDefault="0065473A"/>
    <w:p w14:paraId="58E0399F" w14:textId="77777777" w:rsidR="0065473A" w:rsidRDefault="0065473A">
      <w:r>
        <w:t>Bio-oil Geological Storage Protocol, §6.4 Additionality (review triggers):</w:t>
      </w:r>
    </w:p>
    <w:p w14:paraId="2D0F5E1B" w14:textId="77777777" w:rsidR="0065473A" w:rsidRDefault="0065473A"/>
    <w:p w14:paraId="419A0760" w14:textId="77777777" w:rsidR="0065473A" w:rsidRDefault="0065473A">
      <w:r>
        <w:t xml:space="preserve">  "</w:t>
      </w:r>
      <w:proofErr w:type="gramStart"/>
      <w:r>
        <w:t>project</w:t>
      </w:r>
      <w:proofErr w:type="gramEnd"/>
      <w:r>
        <w:t xml:space="preserve"> financials indicate carbon finance is no longer required, potentially due to, for example: increased tipping fees for waste feedstocks; sale of co-products that make the business viable without carbon finance; reduced rates for capital access"</w:t>
      </w:r>
    </w:p>
    <w:p w14:paraId="4D19D859" w14:textId="77777777" w:rsidR="0065473A" w:rsidRDefault="0065473A"/>
    <w:p w14:paraId="738DAC70" w14:textId="77777777" w:rsidR="0065473A" w:rsidRDefault="0065473A">
      <w:r>
        <w:t>Equity dividends from an upstream entity could be characterized as a co-product revenue stream. That is the argument to anticipate and structurally foreclose.</w:t>
      </w:r>
    </w:p>
    <w:p w14:paraId="1D1D4A49" w14:textId="77777777" w:rsidR="0065473A" w:rsidRDefault="0065473A"/>
    <w:p w14:paraId="07B7A744" w14:textId="77777777" w:rsidR="0065473A" w:rsidRDefault="0065473A">
      <w:r>
        <w:t>─────────────────────────────────────────────────────────────────────────</w:t>
      </w:r>
    </w:p>
    <w:p w14:paraId="2B989FE4" w14:textId="77777777" w:rsidR="0065473A" w:rsidRDefault="0065473A">
      <w:r>
        <w:t>3. EVIDENCE BURDEN</w:t>
      </w:r>
    </w:p>
    <w:p w14:paraId="193AAC8C" w14:textId="77777777" w:rsidR="0065473A" w:rsidRDefault="0065473A">
      <w:r>
        <w:t>─────────────────────────────────────────────────────────────────────────</w:t>
      </w:r>
    </w:p>
    <w:p w14:paraId="7AFA2B9B" w14:textId="77777777" w:rsidR="0065473A" w:rsidRDefault="0065473A"/>
    <w:p w14:paraId="6A67D4B7" w14:textId="77777777" w:rsidR="0065473A" w:rsidRDefault="0065473A">
      <w:r>
        <w:lastRenderedPageBreak/>
        <w:t>Three layers, all sourced from §3.1 requirements.</w:t>
      </w:r>
    </w:p>
    <w:p w14:paraId="2C58509D" w14:textId="77777777" w:rsidR="0065473A" w:rsidRDefault="0065473A"/>
    <w:p w14:paraId="53197299" w14:textId="77777777" w:rsidR="0065473A" w:rsidRDefault="0065473A">
      <w:r>
        <w:t>CONTRACTS (Isometric Standard v2.0, §3.1)</w:t>
      </w:r>
    </w:p>
    <w:p w14:paraId="124E3013" w14:textId="77777777" w:rsidR="0065473A" w:rsidRDefault="0065473A"/>
    <w:p w14:paraId="5C97103C" w14:textId="77777777" w:rsidR="0065473A" w:rsidRDefault="0065473A">
      <w:r>
        <w:t>Contracts with all participating entities must:</w:t>
      </w:r>
    </w:p>
    <w:p w14:paraId="2A56A4A4" w14:textId="77777777" w:rsidR="0065473A" w:rsidRDefault="0065473A"/>
    <w:p w14:paraId="58F6EF0F" w14:textId="77777777" w:rsidR="0065473A" w:rsidRDefault="0065473A">
      <w:r>
        <w:t xml:space="preserve">  "</w:t>
      </w:r>
      <w:proofErr w:type="gramStart"/>
      <w:r>
        <w:t>relinquish</w:t>
      </w:r>
      <w:proofErr w:type="gramEnd"/>
      <w:r>
        <w:t xml:space="preserve"> ownership of all Removals and/or Reductions to the Project Proponent;"</w:t>
      </w:r>
    </w:p>
    <w:p w14:paraId="143DF73B" w14:textId="77777777" w:rsidR="0065473A" w:rsidRDefault="0065473A"/>
    <w:p w14:paraId="284251AD" w14:textId="77777777" w:rsidR="0065473A" w:rsidRDefault="0065473A">
      <w:r>
        <w:t xml:space="preserve">  "</w:t>
      </w:r>
      <w:proofErr w:type="gramStart"/>
      <w:r>
        <w:t>clearly</w:t>
      </w:r>
      <w:proofErr w:type="gramEnd"/>
      <w:r>
        <w:t xml:space="preserve"> indicate that other companies or operators participating in the Project cannot claim Removal and/or Reduction Credits as a result of participation in the Project;"</w:t>
      </w:r>
    </w:p>
    <w:p w14:paraId="13441904" w14:textId="77777777" w:rsidR="0065473A" w:rsidRDefault="0065473A"/>
    <w:p w14:paraId="368066A6" w14:textId="77777777" w:rsidR="0065473A" w:rsidRDefault="0065473A">
      <w:r>
        <w:t xml:space="preserve">  "</w:t>
      </w:r>
      <w:proofErr w:type="gramStart"/>
      <w:r>
        <w:t>provide</w:t>
      </w:r>
      <w:proofErr w:type="gramEnd"/>
      <w:r>
        <w:t xml:space="preserve"> mechanisms for the Project Proponent to obtain required information to fully calculate the Removals and Reductions from aspects of the Project relevant to the company; and"</w:t>
      </w:r>
    </w:p>
    <w:p w14:paraId="76EED0FB" w14:textId="77777777" w:rsidR="0065473A" w:rsidRDefault="0065473A"/>
    <w:p w14:paraId="42D435DA" w14:textId="77777777" w:rsidR="0065473A" w:rsidRDefault="0065473A">
      <w:r>
        <w:t xml:space="preserve">  "</w:t>
      </w:r>
      <w:proofErr w:type="gramStart"/>
      <w:r>
        <w:t>stipulate</w:t>
      </w:r>
      <w:proofErr w:type="gramEnd"/>
      <w:r>
        <w:t xml:space="preserve"> that unless these third parties are the end owners of the generated Credits that they will not advertise that they are producing a 'low emission product or practice,' in connection with or benefitting from the Removals or Reductions carried out by the Project."</w:t>
      </w:r>
    </w:p>
    <w:p w14:paraId="6222D205" w14:textId="77777777" w:rsidR="0065473A" w:rsidRDefault="0065473A"/>
    <w:p w14:paraId="6CE0043F" w14:textId="77777777" w:rsidR="0065473A" w:rsidRDefault="0065473A">
      <w:r>
        <w:t>FEEDSTOCK SUSTAINABILITY DOCUMENTATION</w:t>
      </w:r>
    </w:p>
    <w:p w14:paraId="690FDD72" w14:textId="77777777" w:rsidR="0065473A" w:rsidRDefault="0065473A"/>
    <w:p w14:paraId="20AF424C" w14:textId="77777777" w:rsidR="0065473A" w:rsidRDefault="0065473A">
      <w:r>
        <w:t>Biomass Feedstock Accounting v1.3 SC1.1/SC1.2/SC1.3 requirements are unchanged regardless of ownership structure. Owning the forester doesn't exempt the feedstock from sustainability criteria — it just means Charm controls the documentation chain directly.</w:t>
      </w:r>
    </w:p>
    <w:p w14:paraId="7E8F15F4" w14:textId="77777777" w:rsidR="0065473A" w:rsidRDefault="0065473A"/>
    <w:p w14:paraId="524A2242" w14:textId="77777777" w:rsidR="0065473A" w:rsidRDefault="0065473A">
      <w:r>
        <w:t>FINANCIAL ADDITIONALITY DOCUMENTATION</w:t>
      </w:r>
    </w:p>
    <w:p w14:paraId="0111181F" w14:textId="77777777" w:rsidR="0065473A" w:rsidRDefault="0065473A"/>
    <w:p w14:paraId="07D6FE16" w14:textId="77777777" w:rsidR="0065473A" w:rsidRDefault="0065473A">
      <w:r>
        <w:lastRenderedPageBreak/>
        <w:t>If equity income from the acquired entity is material, Charm would need to demonstrate that CDR still requires carbon finance even accounting for that income. No specific format is prescribed — it falls under the general IRR/financial modeling requirements in §3.5.2.</w:t>
      </w:r>
    </w:p>
    <w:p w14:paraId="5DDE3489" w14:textId="77777777" w:rsidR="0065473A" w:rsidRDefault="0065473A"/>
    <w:p w14:paraId="309246FF" w14:textId="77777777" w:rsidR="0065473A" w:rsidRDefault="0065473A">
      <w:r>
        <w:t>─────────────────────────────────────────────────────────────────────────</w:t>
      </w:r>
    </w:p>
    <w:p w14:paraId="76BA70FC" w14:textId="77777777" w:rsidR="0065473A" w:rsidRDefault="0065473A">
      <w:r>
        <w:t>4. HOLDING COMPANY / CDR ARM STRUCTURE</w:t>
      </w:r>
    </w:p>
    <w:p w14:paraId="698D7745" w14:textId="77777777" w:rsidR="0065473A" w:rsidRDefault="0065473A">
      <w:r>
        <w:t>─────────────────────────────────────────────────────────────────────────</w:t>
      </w:r>
    </w:p>
    <w:p w14:paraId="73257857" w14:textId="77777777" w:rsidR="0065473A" w:rsidRDefault="0065473A"/>
    <w:p w14:paraId="7F869F7B" w14:textId="77777777" w:rsidR="0065473A" w:rsidRDefault="0065473A">
      <w:r>
        <w:t>Explicitly permitted. The §3.1 carve-out covers this directly:</w:t>
      </w:r>
    </w:p>
    <w:p w14:paraId="6AA137E1" w14:textId="77777777" w:rsidR="0065473A" w:rsidRDefault="0065473A"/>
    <w:p w14:paraId="45E998DE" w14:textId="77777777" w:rsidR="0065473A" w:rsidRDefault="0065473A">
      <w:r>
        <w:t>Isometric Standard v2.0, §3.1:</w:t>
      </w:r>
    </w:p>
    <w:p w14:paraId="2D9A463B" w14:textId="77777777" w:rsidR="0065473A" w:rsidRDefault="0065473A"/>
    <w:p w14:paraId="12850726" w14:textId="77777777" w:rsidR="0065473A" w:rsidRDefault="0065473A">
      <w:r>
        <w:t xml:space="preserve">  "These requirements do not preclude the project activity from involving multiple underlying entities (e.g., subsidiaries, special purpose entities or site owners)."</w:t>
      </w:r>
    </w:p>
    <w:p w14:paraId="146FFBBF" w14:textId="77777777" w:rsidR="0065473A" w:rsidRDefault="0065473A"/>
    <w:p w14:paraId="2719980B" w14:textId="77777777" w:rsidR="0065473A" w:rsidRDefault="0065473A">
      <w:r>
        <w:t>The "Project Proponent" is defined as the single entity that holds credit rights. A holding company with partial ownership of both Charm CDR and an upstream supplier creates no conflict of interest under these protocols.</w:t>
      </w:r>
    </w:p>
    <w:p w14:paraId="1BEAA6AE" w14:textId="77777777" w:rsidR="0065473A" w:rsidRDefault="0065473A"/>
    <w:p w14:paraId="14091C08" w14:textId="77777777" w:rsidR="0065473A" w:rsidRDefault="0065473A">
      <w:r>
        <w:t>Isometric Standard v2.0, §4.4 Conflicts of Interest applies only to VVBs:</w:t>
      </w:r>
    </w:p>
    <w:p w14:paraId="3C8528F0" w14:textId="77777777" w:rsidR="0065473A" w:rsidRDefault="0065473A"/>
    <w:p w14:paraId="5B804458" w14:textId="77777777" w:rsidR="0065473A" w:rsidRDefault="0065473A">
      <w:r>
        <w:t xml:space="preserve">  "Any organization which has been involved in the development of a particular Project may not act as a VVB for Validation and/or Verification purposes for that Project."</w:t>
      </w:r>
    </w:p>
    <w:p w14:paraId="62CAD6E8" w14:textId="77777777" w:rsidR="0065473A" w:rsidRDefault="0065473A"/>
    <w:p w14:paraId="1AA3748D" w14:textId="77777777" w:rsidR="0065473A" w:rsidRDefault="0065473A">
      <w:r>
        <w:t>There is no analogous prohibition on the Project Proponent side having complex corporate relationships. The protocols care about one thing on the proponent side: a single entity is contractually designated as the sole credit owner, with contracts satisfying the four §3.1 requirements.</w:t>
      </w:r>
    </w:p>
    <w:p w14:paraId="0BBAF8C7" w14:textId="77777777" w:rsidR="0065473A" w:rsidRDefault="0065473A"/>
    <w:p w14:paraId="1EE69C92" w14:textId="77777777" w:rsidR="0065473A" w:rsidRDefault="0065473A">
      <w:r>
        <w:lastRenderedPageBreak/>
        <w:t>─────────────────────────────────────────────────────────────────────────</w:t>
      </w:r>
    </w:p>
    <w:p w14:paraId="10116250" w14:textId="77777777" w:rsidR="0065473A" w:rsidRDefault="0065473A">
      <w:r>
        <w:t>BOTTOM LINE</w:t>
      </w:r>
    </w:p>
    <w:p w14:paraId="05F53F4E" w14:textId="77777777" w:rsidR="0065473A" w:rsidRDefault="0065473A">
      <w:r>
        <w:t>─────────────────────────────────────────────────────────────────────────</w:t>
      </w:r>
    </w:p>
    <w:p w14:paraId="2C8A3534" w14:textId="77777777" w:rsidR="0065473A" w:rsidRDefault="0065473A"/>
    <w:p w14:paraId="4D27E9A0" w14:textId="77777777" w:rsidR="0065473A" w:rsidRDefault="0065473A">
      <w:r>
        <w:t>The protocols are structurally agnostic to vertical integration and holding company arrangements. The obligations are:</w:t>
      </w:r>
    </w:p>
    <w:p w14:paraId="0F3A81E2" w14:textId="77777777" w:rsidR="0065473A" w:rsidRDefault="0065473A"/>
    <w:p w14:paraId="52957E03" w14:textId="77777777" w:rsidR="0065473A" w:rsidRDefault="0065473A">
      <w:r>
        <w:t xml:space="preserve">  1. Contractual (§3.1) — credit relinquishment, no double-claim, data access, no low-emission marketing</w:t>
      </w:r>
    </w:p>
    <w:p w14:paraId="4C101ACC" w14:textId="77777777" w:rsidR="0065473A" w:rsidRDefault="0065473A">
      <w:r>
        <w:t xml:space="preserve">  2. Feedstock-documentary (Biomass Feedstock Accounting SC1 criteria)</w:t>
      </w:r>
    </w:p>
    <w:p w14:paraId="20E0D88E" w14:textId="77777777" w:rsidR="0065473A" w:rsidRDefault="0065473A">
      <w:r>
        <w:t xml:space="preserve">  3. Financial-additionality-maintaining (§3.5.2 / §6.4)</w:t>
      </w:r>
    </w:p>
    <w:p w14:paraId="6CE08E42" w14:textId="77777777" w:rsidR="0065473A" w:rsidRDefault="0065473A"/>
    <w:p w14:paraId="7DBE6F89" w14:textId="77777777" w:rsidR="0065473A" w:rsidRDefault="0065473A">
      <w:r>
        <w:t>The only real structural risk is if equity income from an upstream entity starts reading as a revenue stream that undermines the "carbon finance is necessary" case. Structuring the equity relationship so upstream returns are clearly separate from CDR project economics would foreclose that argument.</w:t>
      </w:r>
    </w:p>
    <w:p w14:paraId="0DC9DAD3" w14:textId="77777777" w:rsidR="0065473A" w:rsidRDefault="0065473A"/>
    <w:p w14:paraId="13DC9477" w14:textId="77777777" w:rsidR="0065473A" w:rsidRDefault="0065473A">
      <w:r>
        <w:t>─────────────────────────────────────────────────────────────────────────</w:t>
      </w:r>
    </w:p>
    <w:p w14:paraId="10385B78" w14:textId="77777777" w:rsidR="0065473A" w:rsidRDefault="0065473A">
      <w:r>
        <w:t>Sources read this session (verbatim quotes only)</w:t>
      </w:r>
    </w:p>
    <w:p w14:paraId="5D19D3F2" w14:textId="77777777" w:rsidR="0065473A" w:rsidRDefault="0065473A">
      <w:r>
        <w:t xml:space="preserve">  • Isometric Standard v2.0 — §3.1, §3.5, §3.5.2, §4.4</w:t>
      </w:r>
    </w:p>
    <w:p w14:paraId="42E4E473" w14:textId="77777777" w:rsidR="0065473A" w:rsidRDefault="0065473A">
      <w:r>
        <w:t xml:space="preserve">  • Bio-oil Geological Storage Protocol v1.1 — §6.3, §6.4, §7.2</w:t>
      </w:r>
    </w:p>
    <w:p w14:paraId="621CDB14" w14:textId="77777777" w:rsidR="0065473A" w:rsidRDefault="0065473A">
      <w:r>
        <w:t xml:space="preserve">  • Biomass Feedstock Accounting v1.3 — Introduction, §2 Sustainability Criteria</w:t>
      </w:r>
    </w:p>
    <w:p w14:paraId="080D7D2A" w14:textId="77777777" w:rsidR="002B5636" w:rsidRDefault="0065473A">
      <w:r>
        <w:t>─────────────────────────────────────────────────────────────────────────</w:t>
      </w:r>
    </w:p>
    <w:sectPr w:rsidR="002B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3A"/>
    <w:rsid w:val="002B5636"/>
    <w:rsid w:val="003F59B4"/>
    <w:rsid w:val="0065473A"/>
    <w:rsid w:val="007427AA"/>
    <w:rsid w:val="00941FAF"/>
    <w:rsid w:val="00AD7475"/>
    <w:rsid w:val="00ED2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E1BBE2"/>
  <w15:chartTrackingRefBased/>
  <w15:docId w15:val="{416C520E-9ACF-0249-9386-DD196132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73A"/>
    <w:rPr>
      <w:rFonts w:eastAsiaTheme="majorEastAsia" w:cstheme="majorBidi"/>
      <w:color w:val="272727" w:themeColor="text1" w:themeTint="D8"/>
    </w:rPr>
  </w:style>
  <w:style w:type="paragraph" w:styleId="Title">
    <w:name w:val="Title"/>
    <w:basedOn w:val="Normal"/>
    <w:next w:val="Normal"/>
    <w:link w:val="TitleChar"/>
    <w:uiPriority w:val="10"/>
    <w:qFormat/>
    <w:rsid w:val="00654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73A"/>
    <w:pPr>
      <w:spacing w:before="160"/>
      <w:jc w:val="center"/>
    </w:pPr>
    <w:rPr>
      <w:i/>
      <w:iCs/>
      <w:color w:val="404040" w:themeColor="text1" w:themeTint="BF"/>
    </w:rPr>
  </w:style>
  <w:style w:type="character" w:customStyle="1" w:styleId="QuoteChar">
    <w:name w:val="Quote Char"/>
    <w:basedOn w:val="DefaultParagraphFont"/>
    <w:link w:val="Quote"/>
    <w:uiPriority w:val="29"/>
    <w:rsid w:val="0065473A"/>
    <w:rPr>
      <w:i/>
      <w:iCs/>
      <w:color w:val="404040" w:themeColor="text1" w:themeTint="BF"/>
    </w:rPr>
  </w:style>
  <w:style w:type="paragraph" w:styleId="ListParagraph">
    <w:name w:val="List Paragraph"/>
    <w:basedOn w:val="Normal"/>
    <w:uiPriority w:val="34"/>
    <w:qFormat/>
    <w:rsid w:val="0065473A"/>
    <w:pPr>
      <w:ind w:left="720"/>
      <w:contextualSpacing/>
    </w:pPr>
  </w:style>
  <w:style w:type="character" w:styleId="IntenseEmphasis">
    <w:name w:val="Intense Emphasis"/>
    <w:basedOn w:val="DefaultParagraphFont"/>
    <w:uiPriority w:val="21"/>
    <w:qFormat/>
    <w:rsid w:val="0065473A"/>
    <w:rPr>
      <w:i/>
      <w:iCs/>
      <w:color w:val="0F4761" w:themeColor="accent1" w:themeShade="BF"/>
    </w:rPr>
  </w:style>
  <w:style w:type="paragraph" w:styleId="IntenseQuote">
    <w:name w:val="Intense Quote"/>
    <w:basedOn w:val="Normal"/>
    <w:next w:val="Normal"/>
    <w:link w:val="IntenseQuoteChar"/>
    <w:uiPriority w:val="30"/>
    <w:qFormat/>
    <w:rsid w:val="00654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73A"/>
    <w:rPr>
      <w:i/>
      <w:iCs/>
      <w:color w:val="0F4761" w:themeColor="accent1" w:themeShade="BF"/>
    </w:rPr>
  </w:style>
  <w:style w:type="character" w:styleId="IntenseReference">
    <w:name w:val="Intense Reference"/>
    <w:basedOn w:val="DefaultParagraphFont"/>
    <w:uiPriority w:val="32"/>
    <w:qFormat/>
    <w:rsid w:val="00654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Bernard Lavine</dc:creator>
  <cp:keywords/>
  <dc:description/>
  <cp:lastModifiedBy>Max Bernard Lavine</cp:lastModifiedBy>
  <cp:revision>1</cp:revision>
  <dcterms:created xsi:type="dcterms:W3CDTF">2026-05-18T23:00:00Z</dcterms:created>
  <dcterms:modified xsi:type="dcterms:W3CDTF">2026-05-18T23:00:00Z</dcterms:modified>
</cp:coreProperties>
</file>