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38"/>
        </w:rPr>
        <w:t>Anaerobic Digester Residence and Charm Biochar Permanence</w:t>
      </w:r>
    </w:p>
    <w:p>
      <w:pPr>
        <w:spacing w:after="160"/>
      </w:pPr>
      <w:r>
        <w:rPr>
          <w:color w:val="555555"/>
          <w:sz w:val="24"/>
        </w:rPr>
        <w:t>Technical Brief — Effect on Charm’s Operative Durability Accounting</w:t>
      </w:r>
    </w:p>
    <w:p>
      <w:pPr>
        <w:spacing w:after="40"/>
      </w:pPr>
      <w:r>
        <w:rPr>
          <w:b/>
          <w:sz w:val="20"/>
        </w:rPr>
        <w:t xml:space="preserve">Prepared by: </w:t>
      </w:r>
      <w:r>
        <w:rPr>
          <w:sz w:val="20"/>
        </w:rPr>
        <w:t>Charm Industrial</w:t>
        <w:br/>
      </w:r>
      <w:r>
        <w:rPr>
          <w:b/>
          <w:sz w:val="20"/>
        </w:rPr>
        <w:t xml:space="preserve">Prepared for: </w:t>
      </w:r>
      <w:r>
        <w:rPr>
          <w:sz w:val="20"/>
        </w:rPr>
        <w:t>Isometric</w:t>
        <w:br/>
      </w:r>
      <w:r>
        <w:rPr>
          <w:b/>
          <w:sz w:val="20"/>
        </w:rPr>
        <w:t xml:space="preserve">Author: </w:t>
      </w:r>
      <w:r>
        <w:rPr>
          <w:sz w:val="20"/>
        </w:rPr>
        <w:t>Max Lavine, Carbon Protocol and Verification Lead</w:t>
        <w:br/>
      </w:r>
      <w:r>
        <w:rPr>
          <w:b/>
          <w:sz w:val="20"/>
        </w:rPr>
        <w:t xml:space="preserve">Date: </w:t>
      </w:r>
      <w:r>
        <w:rPr>
          <w:sz w:val="20"/>
        </w:rPr>
        <w:t>July 20, 2026</w:t>
        <w:br/>
      </w:r>
    </w:p>
    <w:p>
      <w:pPr>
        <w:pBdr>
          <w:bottom w:val="single" w:sz="6" w:space="1" w:color="1F3864"/>
        </w:pBdr>
        <w:spacing w:after="120"/>
      </w:pPr>
    </w:p>
    <w:p>
      <w:pPr>
        <w:spacing w:before="80" w:after="120"/>
      </w:pPr>
      <w:r>
        <w:rPr>
          <w:b/>
          <w:color w:val="1F3864"/>
          <w:sz w:val="26"/>
        </w:rPr>
        <w:t>Purpose</w:t>
      </w:r>
    </w:p>
    <w:p>
      <w:pPr>
        <w:spacing w:after="120" w:before="0"/>
      </w:pPr>
      <w:r>
        <w:rPr>
          <w:b w:val="0"/>
          <w:i w:val="0"/>
          <w:sz w:val="22"/>
        </w:rPr>
        <w:t>Charm is considering routing biochar from its Range &amp; Plains project through an anaerobic digester (AD) before agricultural-soil application. This brief answers one question: does that digester step change the permanence Charm already credits under its operative v1.0 modules? It frames the answer as a delta against current practice — what changes, what does not — rather than a fresh protocol review, and grounds it in six sources read and quoted directly this session. Charm’s current-state accounting is drawn from the v1.12 PDD and the verification knowledge base.</w:t>
      </w:r>
    </w:p>
    <w:p>
      <w:pPr>
        <w:spacing w:before="280" w:after="120"/>
      </w:pPr>
      <w:r>
        <w:rPr>
          <w:b/>
          <w:color w:val="1F3864"/>
          <w:sz w:val="26"/>
        </w:rPr>
        <w:t>Executive Summary</w:t>
      </w:r>
    </w:p>
    <w:p>
      <w:pPr>
        <w:pStyle w:val="ListBullet"/>
        <w:spacing w:after="80"/>
      </w:pPr>
      <w:r>
        <w:t>Current state. Charm credits Range &amp; Plains Biochar permanence under Biochar Storage in Agricultural Soils v1.0, using a durable-fraction factor (F_durable) driven by the biochar’s organic H/C ratio (Option 1, Woolf 200-year) or its random reflectance and inertinite content (Option 2, Sanei 1,000-year). The last verified removal used H:C 0.457 and carbon content 83.8%, yielding F_durable = 74.73%.</w:t>
      </w:r>
    </w:p>
    <w:p>
      <w:pPr>
        <w:pStyle w:val="ListBullet"/>
        <w:spacing w:after="80"/>
      </w:pPr>
      <w:r>
        <w:t>The carbon that F_durable reads is set at pyrolysis. Anaerobic digestion consumes the labile, volatile organic fraction of the feedstock — not biochar’s aromatic backbone. The H/C ratio and reflectance that drive the durability factor are therefore unchanged by digester residence.</w:t>
      </w:r>
    </w:p>
    <w:p>
      <w:pPr>
        <w:pStyle w:val="ListBullet"/>
        <w:spacing w:after="80"/>
      </w:pPr>
      <w:r>
        <w:t>Hu et al. (2024) state the mass balance directly: the biochar added to a digester “approximately equals its carbon sequestration potential, preventing the release of carbon back into the atmosphere.”</w:t>
      </w:r>
    </w:p>
    <w:p>
      <w:pPr>
        <w:pStyle w:val="ListBullet"/>
        <w:spacing w:after="80"/>
      </w:pPr>
      <w:r>
        <w:t>Consequence: the F_durable inputs Charm measures at production remain valid after AD residence. The durability model output does not change because the char passed through a digester.</w:t>
      </w:r>
    </w:p>
    <w:p>
      <w:pPr>
        <w:pStyle w:val="ListBullet"/>
        <w:spacing w:after="80"/>
      </w:pPr>
      <w:r>
        <w:t>What changes is downstream of the reactor, not the carbon: the biochar is delivered as digestate rather than dry char, the custody chain gains one link (the digester operator), and contaminant screening must be run on the applied digestate. The standing v1.0 condition — that the endpoint be agricultural soil, not incineration — becomes the load-bearing requirement.</w:t>
      </w:r>
    </w:p>
    <w:p>
      <w:pPr>
        <w:pStyle w:val="ListBullet"/>
        <w:spacing w:after="80"/>
      </w:pPr>
      <w:r>
        <w:t>Open item: no source in this set measured biochar’s H/C ratio before versus after AD residence. Retention is inferred, not measured. A pre/post characterization should precede crediting an AD-routed batch.</w:t>
      </w:r>
    </w:p>
    <w:p>
      <w:pPr>
        <w:spacing w:before="280" w:after="120"/>
      </w:pPr>
      <w:r>
        <w:rPr>
          <w:b/>
          <w:color w:val="1F3864"/>
          <w:sz w:val="28"/>
        </w:rPr>
        <w:t>1. How Charm Credits Biochar Permanence Today</w:t>
      </w:r>
    </w:p>
    <w:p>
      <w:pPr>
        <w:spacing w:after="120" w:before="0"/>
      </w:pPr>
      <w:r>
        <w:rPr>
          <w:b w:val="0"/>
          <w:i w:val="0"/>
          <w:sz w:val="22"/>
        </w:rPr>
        <w:t>The Range &amp; Plains Biochar project is validated under Biochar Production and Storage v1.0 and Biochar Storage in Agricultural Soils v1.0 (verified by 350Solutions; approved 4 August 2025). Permanence is credited through the stored-carbon equation of the Agricultural Soils module (Section 4.1.1):</w:t>
      </w:r>
    </w:p>
    <w:p>
      <w:pPr>
        <w:spacing w:before="80" w:after="40"/>
        <w:ind w:left="576" w:right="432"/>
      </w:pPr>
      <w:r>
        <w:rPr>
          <w:i/>
          <w:color w:val="555555"/>
          <w:sz w:val="21"/>
        </w:rPr>
        <w:t>“CO₂eStored = C_biochar × m_biochar × F_durable × 44.01/12.01, where C_biochar = Total Carbon Content − C_inorg (only organic carbon credited).”</w:t>
      </w:r>
    </w:p>
    <w:p>
      <w:pPr>
        <w:spacing w:after="160"/>
        <w:ind w:left="576"/>
      </w:pPr>
      <w:r>
        <w:rPr>
          <w:color w:val="555555"/>
          <w:sz w:val="19"/>
        </w:rPr>
        <w:t>— Biochar Storage in Agricultural Soils v1.0, Section 4.1.1 (per Charm verification knowledge base)</w:t>
      </w:r>
    </w:p>
    <w:p>
      <w:pPr>
        <w:spacing w:after="120" w:before="0"/>
      </w:pPr>
      <w:r>
        <w:rPr>
          <w:b w:val="0"/>
          <w:i w:val="0"/>
          <w:sz w:val="22"/>
        </w:rPr>
        <w:t>The durable fraction F_durable is the permanence term, and it is computed from properties measured on the biochar at production. Under Option 1 (200-year, Woolf 2021), F_durable is a function of the organic H/C ratio and soil temperature; under Option 2 (1,000-year, Sanei 2024), it is a function of random reflectance (R₀) and non-reactive carbon content. The module gates crediting on elemental-stability thresholds (Section 3.3): organic H/C &lt; 0.5, organic O/C &lt; 0.2, and R₀ ≥ 2%. Charm’s most recent verified biochar removal reported H:C 0.457, carbon content 83.8%, soil temperature 19.6°C, and F_durable = 74.73% under Option 1.</w:t>
      </w:r>
    </w:p>
    <w:p>
      <w:pPr>
        <w:spacing w:after="120" w:before="0"/>
      </w:pPr>
      <w:r>
        <w:rPr>
          <w:b w:val="0"/>
          <w:i w:val="0"/>
          <w:sz w:val="22"/>
        </w:rPr>
        <w:t>The storage endpoint is agricultural-land soil application by distributed offtakers, each site tracked individually for chain of custody, with VVB site visits to the application site (Production and Storage v1.0, Section 6.2.2) and contaminant screening against the module’s heavy-metal, PAH, and dioxin limits. Applicability under v1.0 is limited to agricultural land (Agricultural Soils v1.0, Section 1.1).</w:t>
      </w:r>
    </w:p>
    <w:p>
      <w:pPr>
        <w:spacing w:after="120" w:before="0"/>
      </w:pPr>
      <w:r>
        <w:rPr>
          <w:b w:val="0"/>
          <w:i w:val="0"/>
          <w:sz w:val="22"/>
        </w:rPr>
        <w:t>An anaerobic digester appears nowhere in the current pathway — the v1.12 PDD contains no AD step. AD residence is therefore a prospective change to evaluate against this baseline, not part of what has been validated.</w:t>
      </w:r>
    </w:p>
    <w:p>
      <w:pPr>
        <w:spacing w:before="280" w:after="120"/>
      </w:pPr>
      <w:r>
        <w:rPr>
          <w:b/>
          <w:color w:val="1F3864"/>
          <w:sz w:val="28"/>
        </w:rPr>
        <w:t>2. The Question, Stated as a Delta</w:t>
      </w:r>
    </w:p>
    <w:p>
      <w:pPr>
        <w:spacing w:after="120" w:before="0"/>
      </w:pPr>
      <w:r>
        <w:rPr>
          <w:b w:val="0"/>
          <w:i w:val="0"/>
          <w:sz w:val="22"/>
        </w:rPr>
        <w:t>Inserting a digester between pyrolysis and soil application changes the physical journey of the char. The accounting question is narrower: does any input to F_durable change? The durability factor reads organic H/C, organic O/C, random reflectance, and non-reactive carbon — all fixed at pyrolysis. If the digester does not alter those, the permanence Charm credits is unchanged, and the review reduces to managing the downstream differences. The literature addresses the first half; Charm’s existing controls address the second.</w:t>
      </w:r>
    </w:p>
    <w:p>
      <w:pPr>
        <w:spacing w:before="280" w:after="120"/>
      </w:pPr>
      <w:r>
        <w:rPr>
          <w:b/>
          <w:color w:val="1F3864"/>
          <w:sz w:val="28"/>
        </w:rPr>
        <w:t>3. What Does Not Change: the Permanence-Governing Carbon Is Inert to AD</w:t>
      </w:r>
    </w:p>
    <w:p>
      <w:pPr>
        <w:spacing w:after="120" w:before="0"/>
      </w:pPr>
      <w:r>
        <w:rPr>
          <w:b w:val="0"/>
          <w:i w:val="0"/>
          <w:sz w:val="22"/>
        </w:rPr>
        <w:t>Biochar’s durability comes from its recalcitrant, aromatic carbon — the same structure the F_durable thresholds screen for:</w:t>
      </w:r>
    </w:p>
    <w:p>
      <w:pPr>
        <w:spacing w:before="80" w:after="40"/>
        <w:ind w:left="576" w:right="432"/>
      </w:pPr>
      <w:r>
        <w:rPr>
          <w:i/>
          <w:color w:val="555555"/>
          <w:sz w:val="21"/>
        </w:rPr>
        <w:t>“Biochar (BC) contains recalcitrant carbon derived from the pyrolysis of biomass and, thus, is an emerging tool for managing residual biomass and sequestrating carbon.”</w:t>
      </w:r>
    </w:p>
    <w:p>
      <w:pPr>
        <w:spacing w:after="160"/>
        <w:ind w:left="576"/>
      </w:pPr>
      <w:r>
        <w:rPr>
          <w:color w:val="555555"/>
          <w:sz w:val="19"/>
        </w:rPr>
        <w:t>— Hu et al. (2024), Introduction</w:t>
      </w:r>
    </w:p>
    <w:p>
      <w:pPr>
        <w:spacing w:before="80" w:after="40"/>
        <w:ind w:left="576" w:right="432"/>
      </w:pPr>
      <w:r>
        <w:rPr>
          <w:i/>
          <w:color w:val="555555"/>
          <w:sz w:val="21"/>
        </w:rPr>
        <w:t>“The highly aromatic structure of biochar reduces microbial decomposition and explains the slow turnover of biochar, indicating long persistence in soils and thus potential SOC sequestration.”</w:t>
      </w:r>
    </w:p>
    <w:p>
      <w:pPr>
        <w:spacing w:after="160"/>
        <w:ind w:left="576"/>
      </w:pPr>
      <w:r>
        <w:rPr>
          <w:color w:val="555555"/>
          <w:sz w:val="19"/>
        </w:rPr>
        <w:t>— Gross et al. (2024), Abstract</w:t>
      </w:r>
    </w:p>
    <w:p>
      <w:pPr>
        <w:spacing w:after="120" w:before="0"/>
      </w:pPr>
      <w:r>
        <w:rPr>
          <w:b w:val="0"/>
          <w:i w:val="0"/>
          <w:sz w:val="22"/>
        </w:rPr>
        <w:t>Inside the digester, biochar acts as a physical and electrochemical amendment, not a carbon source. The review by Zbair et al. (2024) describes its roles:</w:t>
      </w:r>
    </w:p>
    <w:p>
      <w:pPr>
        <w:spacing w:before="80" w:after="40"/>
        <w:ind w:left="576" w:right="432"/>
      </w:pPr>
      <w:r>
        <w:rPr>
          <w:i/>
          <w:color w:val="555555"/>
          <w:sz w:val="21"/>
        </w:rPr>
        <w:t>“The addition of biochar has demonstrated its efficacy in enhancing metabolic processes, microorganisms (activity and community), and buffering capacity, facilitating Direct Interspecies Electron Transfer (DIET), and boosting CH4 production.”</w:t>
      </w:r>
    </w:p>
    <w:p>
      <w:pPr>
        <w:spacing w:after="160"/>
        <w:ind w:left="576"/>
      </w:pPr>
      <w:r>
        <w:rPr>
          <w:color w:val="555555"/>
          <w:sz w:val="19"/>
        </w:rPr>
        <w:t>— Zbair et al. (2024), Abstract</w:t>
      </w:r>
    </w:p>
    <w:p>
      <w:pPr>
        <w:spacing w:after="120" w:before="0"/>
      </w:pPr>
      <w:r>
        <w:rPr>
          <w:b w:val="0"/>
          <w:i w:val="0"/>
          <w:sz w:val="22"/>
        </w:rPr>
        <w:t>Direct interspecies electron transfer uses biochar’s conductivity as an electron conduit; buffering draws on its alkaline ash and surface groups. Neither metabolizes the aromatic carbon that carries the durability value. Hu et al. (2024) close the loop with a mass balance:</w:t>
      </w:r>
    </w:p>
    <w:p>
      <w:pPr>
        <w:spacing w:before="80" w:after="40"/>
        <w:ind w:left="576" w:right="432"/>
      </w:pPr>
      <w:r>
        <w:rPr>
          <w:i/>
          <w:color w:val="555555"/>
          <w:sz w:val="21"/>
        </w:rPr>
        <w:t>“Consequently, the amount of biochar added to the digester approximately equals its carbon sequestration potential, preventing the release of carbon back into the atmosphere.”</w:t>
      </w:r>
    </w:p>
    <w:p>
      <w:pPr>
        <w:spacing w:after="160"/>
        <w:ind w:left="576"/>
      </w:pPr>
      <w:r>
        <w:rPr>
          <w:color w:val="555555"/>
          <w:sz w:val="19"/>
        </w:rPr>
        <w:t>— Hu et al. (2024), Discussion</w:t>
      </w:r>
    </w:p>
    <w:p>
      <w:pPr>
        <w:spacing w:after="120" w:before="0"/>
      </w:pPr>
      <w:r>
        <w:rPr>
          <w:b w:val="0"/>
          <w:i w:val="0"/>
          <w:sz w:val="22"/>
        </w:rPr>
        <w:t>For Charm’s model, the implication is direct: the organic H/C of 0.457 and the reflectance that set F_durable are properties of the aromatic backbone, which AD does not consume. The durability inputs measured at production remain the governing inputs after the char has resided in a digester.</w:t>
      </w:r>
    </w:p>
    <w:p>
      <w:pPr>
        <w:spacing w:before="280" w:after="120"/>
      </w:pPr>
      <w:r>
        <w:rPr>
          <w:b/>
          <w:color w:val="1F3864"/>
          <w:sz w:val="28"/>
        </w:rPr>
        <w:t>4. Field Durability of the Soil Endpoint</w:t>
      </w:r>
    </w:p>
    <w:p>
      <w:pPr>
        <w:spacing w:after="120" w:before="0"/>
      </w:pPr>
      <w:r>
        <w:rPr>
          <w:b w:val="0"/>
          <w:i w:val="0"/>
          <w:sz w:val="22"/>
        </w:rPr>
        <w:t>Charm’s Option 1 factor is a soil-residence decay model (Woolf 2021). Field evidence for long soil persistence — including biochar combined with biogas digestate — comes from Gross et al. (2024), who sampled German experiments more than a decade after application:</w:t>
      </w:r>
    </w:p>
    <w:p>
      <w:pPr>
        <w:spacing w:before="80" w:after="40"/>
        <w:ind w:left="576" w:right="432"/>
      </w:pPr>
      <w:r>
        <w:rPr>
          <w:i/>
          <w:color w:val="555555"/>
          <w:sz w:val="21"/>
        </w:rPr>
        <w:t>“Amendments containing compost and 31.5 Mg ha-1 of biochar on a loamy soil led to a SOC stock increase of 38 Mg ha-1 after OSA addition. … After eleven years, this SOC stock increase was still stable.”</w:t>
      </w:r>
    </w:p>
    <w:p>
      <w:pPr>
        <w:spacing w:after="160"/>
        <w:ind w:left="576"/>
      </w:pPr>
      <w:r>
        <w:rPr>
          <w:color w:val="555555"/>
          <w:sz w:val="19"/>
        </w:rPr>
        <w:t>— Gross et al. (2024), Abstract</w:t>
      </w:r>
    </w:p>
    <w:p>
      <w:pPr>
        <w:spacing w:before="80" w:after="40"/>
        <w:ind w:left="576" w:right="432"/>
      </w:pPr>
      <w:r>
        <w:rPr>
          <w:i/>
          <w:color w:val="555555"/>
          <w:sz w:val="21"/>
        </w:rPr>
        <w:t>“This study proves that SOC sequestration through the use of biochar is possible, especially in loamy soils, while non-biochar OSA cannot sequester SOC in the long term.”</w:t>
      </w:r>
    </w:p>
    <w:p>
      <w:pPr>
        <w:spacing w:after="160"/>
        <w:ind w:left="576"/>
      </w:pPr>
      <w:r>
        <w:rPr>
          <w:color w:val="555555"/>
          <w:sz w:val="19"/>
        </w:rPr>
        <w:t>— Gross et al. (2024), Abstract</w:t>
      </w:r>
    </w:p>
    <w:p>
      <w:pPr>
        <w:spacing w:after="120" w:before="0"/>
      </w:pPr>
      <w:r>
        <w:rPr>
          <w:b w:val="0"/>
          <w:i w:val="0"/>
          <w:sz w:val="22"/>
        </w:rPr>
        <w:t>Two boundaries belong in the record. First, Gross et al. tested biochar co-applied with digestate in soil, not biochar that itself passed through a digester; the study speaks to endpoint durability, not the digester step. Second, on coarse sandy soil the study saw a large share dissipate — “38 Mg ha-1 dissipated in the following four years most likely due to lacking physical protection of the coarse soil material” — a reminder that the receiving soil, captured in Charm’s model through soil temperature and site data, drives realized persistence.</w:t>
      </w:r>
    </w:p>
    <w:p>
      <w:pPr>
        <w:spacing w:before="280" w:after="120"/>
      </w:pPr>
      <w:r>
        <w:rPr>
          <w:b/>
          <w:color w:val="1F3864"/>
          <w:sz w:val="28"/>
        </w:rPr>
        <w:t>5. The Permanence Metric Is the One Charm and the Registry Already Use</w:t>
      </w:r>
    </w:p>
    <w:p>
      <w:pPr>
        <w:spacing w:after="120" w:before="0"/>
      </w:pPr>
      <w:r>
        <w:rPr>
          <w:b w:val="0"/>
          <w:i w:val="0"/>
          <w:sz w:val="22"/>
        </w:rPr>
        <w:t>Because the digester does not alter the aromatic backbone, the metric that governs permanence is the same before and after AD residence — and it is the same metric Charm’s modules and Isometric already rely on. Brown et al. (2026) describe H/C as the standard crediting proxy:</w:t>
      </w:r>
    </w:p>
    <w:p>
      <w:pPr>
        <w:spacing w:before="80" w:after="40"/>
        <w:ind w:left="576" w:right="432"/>
      </w:pPr>
      <w:r>
        <w:rPr>
          <w:i/>
          <w:color w:val="555555"/>
          <w:sz w:val="21"/>
        </w:rPr>
        <w:t>“all current biochar carbon crediting options rely on modelling to predict carbon durability, using the best available science. Most commonly, the initial atomic H:C ratio is used as a relatively low-cost and widely available technique.”</w:t>
      </w:r>
    </w:p>
    <w:p>
      <w:pPr>
        <w:spacing w:after="160"/>
        <w:ind w:left="576"/>
      </w:pPr>
      <w:r>
        <w:rPr>
          <w:color w:val="555555"/>
          <w:sz w:val="19"/>
        </w:rPr>
        <w:t>— Brown et al. (2026)</w:t>
      </w:r>
    </w:p>
    <w:p>
      <w:pPr>
        <w:spacing w:before="80" w:after="40"/>
        <w:ind w:left="576" w:right="432"/>
      </w:pPr>
      <w:r>
        <w:rPr>
          <w:i/>
          <w:color w:val="555555"/>
          <w:sz w:val="21"/>
        </w:rPr>
        <w:t>“There is strong evidence that low atomic H:C ratios are consistently related to higher biochar carbon stability and therefore durability in the environment.”</w:t>
      </w:r>
    </w:p>
    <w:p>
      <w:pPr>
        <w:spacing w:after="160"/>
        <w:ind w:left="576"/>
      </w:pPr>
      <w:r>
        <w:rPr>
          <w:color w:val="555555"/>
          <w:sz w:val="19"/>
        </w:rPr>
        <w:t>— Brown et al. (2026)</w:t>
      </w:r>
    </w:p>
    <w:p>
      <w:pPr>
        <w:spacing w:after="120" w:before="0"/>
      </w:pPr>
      <w:r>
        <w:rPr>
          <w:b w:val="0"/>
          <w:i w:val="0"/>
          <w:sz w:val="22"/>
        </w:rPr>
        <w:t>The two durability axes Brown et al. describe map onto Charm’s two crediting options. High-temperature, low-H/C char carries the longest residence times — “residence times of &gt; 1000 years” for high-temperature aromatic structures, versus “a residence time of 100–300 years” for lower-temperature char (Brown et al. 2026) — which is why Charm’s Option 2 (1,000-year) rests on reflectance and inertinite while Option 1 (200-year) rests on H/C. The IBI 2023–2025 update recommends accounting conservatism relative to those physical ranges and names how registries formalize it:</w:t>
      </w:r>
    </w:p>
    <w:p>
      <w:pPr>
        <w:spacing w:before="80" w:after="40"/>
        <w:ind w:left="576" w:right="432"/>
      </w:pPr>
      <w:r>
        <w:rPr>
          <w:i/>
          <w:color w:val="555555"/>
          <w:sz w:val="21"/>
        </w:rPr>
        <w:t>“biochar permanence … should be defined over decadal to centennial timescales, rather than millennial scales.”</w:t>
      </w:r>
    </w:p>
    <w:p>
      <w:pPr>
        <w:spacing w:after="160"/>
        <w:ind w:left="576"/>
      </w:pPr>
      <w:r>
        <w:rPr>
          <w:color w:val="555555"/>
          <w:sz w:val="19"/>
        </w:rPr>
        <w:t>— International Biochar Initiative (2026), Permanence section</w:t>
      </w:r>
    </w:p>
    <w:p>
      <w:pPr>
        <w:spacing w:before="80" w:after="40"/>
        <w:ind w:left="576" w:right="432"/>
      </w:pPr>
      <w:r>
        <w:rPr>
          <w:i/>
          <w:color w:val="555555"/>
          <w:sz w:val="21"/>
        </w:rPr>
        <w:t>“Isometric, meanwhile, has defined permanence across 200-year, 500-year, and 1,000-year durability scales.”</w:t>
      </w:r>
    </w:p>
    <w:p>
      <w:pPr>
        <w:spacing w:after="160"/>
        <w:ind w:left="576"/>
      </w:pPr>
      <w:r>
        <w:rPr>
          <w:color w:val="555555"/>
          <w:sz w:val="19"/>
        </w:rPr>
        <w:t>— International Biochar Initiative (2026), Permanence section</w:t>
      </w:r>
    </w:p>
    <w:p>
      <w:pPr>
        <w:spacing w:after="120" w:before="0"/>
      </w:pPr>
      <w:r>
        <w:rPr>
          <w:b w:val="0"/>
          <w:i w:val="0"/>
          <w:sz w:val="22"/>
        </w:rPr>
        <w:t>The practical consequence: an H/C ratio and reflectance measured on the biochar at production remain the governing inputs to F_durable after that biochar has resided in a digester. AD residence changes the delivery vehicle — digestate rather than dry char — not the carbon quality the model reads.</w:t>
      </w:r>
    </w:p>
    <w:p>
      <w:pPr>
        <w:spacing w:before="280" w:after="120"/>
      </w:pPr>
      <w:r>
        <w:rPr>
          <w:b/>
          <w:color w:val="1F3864"/>
          <w:sz w:val="28"/>
        </w:rPr>
        <w:t>6. What Changes: the Delta to Manage</w:t>
      </w:r>
    </w:p>
    <w:p>
      <w:pPr>
        <w:spacing w:after="120" w:before="0"/>
      </w:pPr>
      <w:r>
        <w:rPr>
          <w:b w:val="0"/>
          <w:i w:val="0"/>
          <w:sz w:val="22"/>
        </w:rPr>
        <w:t>The differences AD introduces are downstream of the carbon and fall inside controls Charm already operates.</w:t>
      </w:r>
    </w:p>
    <w:p>
      <w:pPr>
        <w:spacing w:after="40" w:before="0"/>
      </w:pPr>
      <w:r>
        <w:rPr>
          <w:b/>
          <w:i w:val="0"/>
          <w:sz w:val="22"/>
        </w:rPr>
        <w:t>Delivery vehicle and mass accounting.</w:t>
      </w:r>
    </w:p>
    <w:p>
      <w:pPr>
        <w:spacing w:after="120" w:before="0"/>
      </w:pPr>
      <w:r>
        <w:rPr>
          <w:b w:val="0"/>
          <w:i w:val="0"/>
          <w:sz w:val="22"/>
        </w:rPr>
        <w:t>The biochar leaves as biochar-enriched digestate, not dry totes. The m_biochar term in the stored-carbon equation must be tracked through the digester and out in the digestate, so the credited mass still ties to characterized char.</w:t>
      </w:r>
    </w:p>
    <w:p>
      <w:pPr>
        <w:spacing w:after="40" w:before="0"/>
      </w:pPr>
      <w:r>
        <w:rPr>
          <w:b/>
          <w:i w:val="0"/>
          <w:sz w:val="22"/>
        </w:rPr>
        <w:t>One added custody link.</w:t>
      </w:r>
    </w:p>
    <w:p>
      <w:pPr>
        <w:spacing w:after="120" w:before="0"/>
      </w:pPr>
      <w:r>
        <w:rPr>
          <w:b w:val="0"/>
          <w:i w:val="0"/>
          <w:sz w:val="22"/>
        </w:rPr>
        <w:t>The digester operator becomes a new node in the per-offtaker chain of custody the project already maintains (Production and Storage v1.0 chain-of-custody / Appendix II evidence for application, mixing, and third-party sales). No new framework is needed — the existing distributed-offtaker tracking extends to it.</w:t>
      </w:r>
    </w:p>
    <w:p>
      <w:pPr>
        <w:spacing w:after="40" w:before="0"/>
      </w:pPr>
      <w:r>
        <w:rPr>
          <w:b/>
          <w:i w:val="0"/>
          <w:sz w:val="22"/>
        </w:rPr>
        <w:t>The endpoint must remain agricultural soil, not incineration.</w:t>
      </w:r>
    </w:p>
    <w:p>
      <w:pPr>
        <w:spacing w:after="120" w:before="0"/>
      </w:pPr>
      <w:r>
        <w:rPr>
          <w:b w:val="0"/>
          <w:i w:val="0"/>
          <w:sz w:val="22"/>
        </w:rPr>
        <w:t>This is the load-bearing condition. Retention holds only if the digestate is land-applied. Hu et al. (2024) are explicit that some digestates are not land-suitable and are burned instead — which releases the carbon:</w:t>
      </w:r>
    </w:p>
    <w:p>
      <w:pPr>
        <w:spacing w:before="80" w:after="40"/>
        <w:ind w:left="576" w:right="432"/>
      </w:pPr>
      <w:r>
        <w:rPr>
          <w:i/>
          <w:color w:val="555555"/>
          <w:sz w:val="21"/>
        </w:rPr>
        <w:t>“Grass-type biochars can be employed in AD processes that handle sewage sludge or other substrates, whose digestates are unsuitable for use on arable lands and require eventual incineration.”</w:t>
      </w:r>
    </w:p>
    <w:p>
      <w:pPr>
        <w:spacing w:after="160"/>
        <w:ind w:left="576"/>
      </w:pPr>
      <w:r>
        <w:rPr>
          <w:color w:val="555555"/>
          <w:sz w:val="19"/>
        </w:rPr>
        <w:t>— Hu et al. (2024), Discussion</w:t>
      </w:r>
    </w:p>
    <w:p>
      <w:pPr>
        <w:spacing w:after="120" w:before="0"/>
      </w:pPr>
      <w:r>
        <w:rPr>
          <w:b w:val="0"/>
          <w:i w:val="0"/>
          <w:sz w:val="22"/>
        </w:rPr>
        <w:t>Woody biochar, by contrast, yields a land-suitable digestate: “woody biochar is suitable for agricultural biogas plants, where the digestate is typically used as fertilizer or soil improvement” (Hu et al. 2024). Charm’s applicability is already limited to agricultural land under v1.0 Section 1.1, so this condition is a documentation obligation, not a new rule.</w:t>
      </w:r>
    </w:p>
    <w:p>
      <w:pPr>
        <w:spacing w:after="40" w:before="0"/>
      </w:pPr>
      <w:r>
        <w:rPr>
          <w:b/>
          <w:i w:val="0"/>
          <w:sz w:val="22"/>
        </w:rPr>
        <w:t>Contaminant compliance on the applied digestate.</w:t>
      </w:r>
    </w:p>
    <w:p>
      <w:pPr>
        <w:spacing w:after="120" w:before="0"/>
      </w:pPr>
      <w:r>
        <w:rPr>
          <w:b w:val="0"/>
          <w:i w:val="0"/>
          <w:sz w:val="22"/>
        </w:rPr>
        <w:t>The module’s heavy-metal, PAH, and dioxin limits apply to the material that reaches soil. Co-digestate shifts the matrix around the char, so the screening Charm already runs must be run on the digestate as applied, not only on the char as produced.</w:t>
      </w:r>
    </w:p>
    <w:p>
      <w:pPr>
        <w:spacing w:after="40" w:before="0"/>
      </w:pPr>
      <w:r>
        <w:rPr>
          <w:b/>
          <w:i w:val="0"/>
          <w:sz w:val="22"/>
        </w:rPr>
        <w:t>Characterization timing — the measurement gap.</w:t>
      </w:r>
    </w:p>
    <w:p>
      <w:pPr>
        <w:spacing w:after="120" w:before="0"/>
      </w:pPr>
      <w:r>
        <w:rPr>
          <w:b w:val="0"/>
          <w:i w:val="0"/>
          <w:sz w:val="22"/>
        </w:rPr>
        <w:t>No source in this set reports a direct measurement of biochar’s H/C ratio or recalcitrant fraction before versus after AD residence. Hu et al. (2024) reach retention by mass balance and recalcitrant-carbon chemistry, not by characterizing the char on both sides of the digester. Charm’s model reads properties measured at production; confirming those properties survive the digester is the one open evidentiary item.</w:t>
      </w:r>
    </w:p>
    <w:p>
      <w:pPr>
        <w:spacing w:before="280" w:after="120"/>
      </w:pPr>
      <w:r>
        <w:rPr>
          <w:b/>
          <w:color w:val="1F3864"/>
          <w:sz w:val="28"/>
        </w:rPr>
        <w:t>Position and Recommended Next Steps</w:t>
      </w:r>
    </w:p>
    <w:p>
      <w:pPr>
        <w:spacing w:after="120" w:before="0"/>
      </w:pPr>
      <w:r>
        <w:rPr>
          <w:b w:val="0"/>
          <w:i w:val="0"/>
          <w:sz w:val="22"/>
        </w:rPr>
        <w:t>The literature supports a clear position: residence in an anaerobic digester does not degrade the permanence-governing carbon fraction of biochar, so the F_durable inputs Charm measures at production remain valid, and the permanence Charm already credits under v1.0 is unchanged. The removal is sound wherever the biochar-enriched digestate reaches agricultural soil.</w:t>
      </w:r>
    </w:p>
    <w:p>
      <w:pPr>
        <w:spacing w:after="120" w:before="0"/>
      </w:pPr>
      <w:r>
        <w:rPr>
          <w:b w:val="0"/>
          <w:i w:val="0"/>
          <w:sz w:val="22"/>
        </w:rPr>
        <w:t>To convert inferred retention into measured retention before crediting an AD-routed batch, Charm proposes:</w:t>
      </w:r>
    </w:p>
    <w:p>
      <w:pPr>
        <w:pStyle w:val="ListBullet"/>
        <w:spacing w:after="80"/>
      </w:pPr>
      <w:r>
        <w:t>Confirm and document that the biochar-enriched digestate is applied to agricultural land — the standing v1.0 Section 1.1 condition on which the storage claim rests — and extend the per-offtaker chain of custody to the digester operator.</w:t>
      </w:r>
    </w:p>
    <w:p>
      <w:pPr>
        <w:pStyle w:val="ListBullet"/>
        <w:spacing w:after="80"/>
      </w:pPr>
      <w:r>
        <w:t>Run a pre/post-AD characterization on a representative batch — organic H/C, organic O/C, random reflectance, and the contaminant panel — to measure directly what the current literature infers, and to confirm the applied digestate still clears the Section 3.3 stability gates (H/C &lt; 0.5, O/C &lt; 0.2, R₀ ≥ 2%) and the module’s contaminant limits.</w:t>
      </w:r>
    </w:p>
    <w:p>
      <w:pPr>
        <w:spacing w:before="280" w:after="120"/>
      </w:pPr>
      <w:r>
        <w:rPr>
          <w:b/>
          <w:color w:val="1F3864"/>
          <w:sz w:val="28"/>
        </w:rPr>
        <w:t>References</w:t>
      </w:r>
    </w:p>
    <w:p>
      <w:pPr>
        <w:spacing w:after="120"/>
        <w:ind w:left="432" w:hanging="432"/>
      </w:pPr>
      <w:r>
        <w:rPr>
          <w:sz w:val="19"/>
        </w:rPr>
        <w:t>Brown, R.W., Chadwick, D.R., &amp; Jones, D.L. (2026). Clarifying the conflation of biochar carbon stability and its soil co-benefits. Biochar, 8(1), 67. https://doi.org/10.1007/s42773-026-00581-4</w:t>
      </w:r>
    </w:p>
    <w:p>
      <w:pPr>
        <w:spacing w:after="120"/>
        <w:ind w:left="432" w:hanging="432"/>
      </w:pPr>
      <w:r>
        <w:rPr>
          <w:sz w:val="19"/>
        </w:rPr>
        <w:t>Gross, A., Bromm, T., Polifka, S., Fischer, D., &amp; Glaser, B. (2024). Long-term biochar and soil organic carbon stability – Evidence from field experiments in Germany. Science of the Total Environment, 954, 176340. https://doi.org/10.1016/j.scitotenv.2024.176340</w:t>
      </w:r>
    </w:p>
    <w:p>
      <w:pPr>
        <w:spacing w:after="120"/>
        <w:ind w:left="432" w:hanging="432"/>
      </w:pPr>
      <w:r>
        <w:rPr>
          <w:sz w:val="19"/>
        </w:rPr>
        <w:t>Hu, J., Stenchly, K., Gwenzi, W., Wachendorf, M., &amp; Kaetzl, K. (2023). Critical evaluation of biochar effects on methane production and process stability in anaerobic digestion. Frontiers in Energy Research, 11, 1205818. https://doi.org/10.3389/fenrg.2023.1205818</w:t>
      </w:r>
    </w:p>
    <w:p>
      <w:pPr>
        <w:spacing w:after="120"/>
        <w:ind w:left="432" w:hanging="432"/>
      </w:pPr>
      <w:r>
        <w:rPr>
          <w:sz w:val="19"/>
        </w:rPr>
        <w:t>Hu, J., Wachendorf, M., Gwenzi, W., Joseph, B., Stenchly, K., &amp; Kaetzl, K. (2024). Improving acid-stressed anaerobic digestion processes with biochar – towards a combined biomass and carbon management system. Environmental Research Communications, 6(3), 035010. https://doi.org/10.1088/2515-7620/ad2bb7</w:t>
      </w:r>
    </w:p>
    <w:p>
      <w:pPr>
        <w:spacing w:after="120"/>
        <w:ind w:left="432" w:hanging="432"/>
      </w:pPr>
      <w:r>
        <w:rPr>
          <w:sz w:val="19"/>
        </w:rPr>
        <w:t>International Biochar Initiative (2026). Biochar as a Diversified Carbon Dioxide Removal Pathway: Research and Technology Integration Update (2023–2025). Author: Abhilasha Tripathi. Published January 26, 2026. https://biochar-international.org/news/biochar-as-a-diversified-carbon-dioxide-removal-pathway-research-and-technology-integration-update-2023-2025/</w:t>
      </w:r>
    </w:p>
    <w:p>
      <w:pPr>
        <w:spacing w:after="120"/>
        <w:ind w:left="432" w:hanging="432"/>
      </w:pPr>
      <w:r>
        <w:rPr>
          <w:sz w:val="19"/>
        </w:rPr>
        <w:t>Zbair, M., Limousy, L., Drané, M., Richard, C., Juge, M., Aemig, Q., Trably, E., Escudié, R., Peyrelasse, C., &amp; Bennici, S. (2024). Integration of Digestate-Derived Biochar into the Anaerobic Digestion Process through Circular Economic and Environmental Approaches—A Review. Materials (Basel), 17(14), 3527. https://doi.org/10.3390/ma17143527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p>
    <w:pPr>
      <w:jc w:val="center"/>
    </w:pPr>
    <w:r>
      <w:rPr>
        <w:color w:val="555555"/>
        <w:sz w:val="16"/>
      </w:rPr>
      <w:t>Charm Industrial — Technical Brief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