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A1A2E"/>
          <w:sz w:val="32"/>
        </w:rPr>
        <w:t>Elk Meadow P2 — Feedstock Requirements</w:t>
      </w:r>
    </w:p>
    <w:p>
      <w:r>
        <w:rPr>
          <w:i/>
          <w:color w:val="555555"/>
          <w:sz w:val="20"/>
        </w:rPr>
        <w:t>Feedstock ID: COWF-005  |  Project: Charm Bio-oil Geologic Storage  |  Status: Draft</w:t>
      </w:r>
      <w:r>
        <w:rPr>
          <w:i/>
          <w:color w:val="555555"/>
          <w:sz w:val="20"/>
        </w:rPr>
        <w:br/>
        <w:t>Source: Isometric Certify — exported 2026-06-10</w:t>
      </w:r>
    </w:p>
    <w:p/>
    <w:p>
      <w:pPr>
        <w:pStyle w:val="Heading1"/>
      </w:pPr>
      <w:r>
        <w:rPr>
          <w:color w:val="1F497D"/>
          <w:sz w:val="26"/>
        </w:rPr>
        <w:t>A.1 — Feedstock Description (R-5JR4-0)</w:t>
      </w:r>
    </w:p>
    <w:p>
      <w:pPr>
        <w:spacing w:after="40"/>
      </w:pPr>
      <w:r>
        <w:rPr>
          <w:b/>
          <w:color w:val="444444"/>
          <w:sz w:val="22"/>
        </w:rPr>
        <w:t>Requirement</w:t>
      </w:r>
    </w:p>
    <w:p>
      <w:pPr>
        <w:spacing w:after="160"/>
        <w:ind w:left="288"/>
      </w:pPr>
      <w:r>
        <w:rPr>
          <w:sz w:val="22"/>
        </w:rPr>
        <w:t>Projects must provide a description of the feedstocks used.</w:t>
      </w:r>
    </w:p>
    <w:p>
      <w:pPr>
        <w:spacing w:after="40"/>
      </w:pPr>
      <w:r>
        <w:rPr>
          <w:b/>
          <w:color w:val="444444"/>
          <w:sz w:val="22"/>
        </w:rPr>
        <w:t>Submission</w:t>
      </w:r>
    </w:p>
    <w:p>
      <w:pPr>
        <w:spacing w:after="80"/>
        <w:ind w:left="288"/>
      </w:pPr>
      <w:r>
        <w:rPr>
          <w:sz w:val="22"/>
        </w:rPr>
        <w:t>Non-merchantable woody biomass — beetle-killed logs, small-diameter ponderosa pine (0–10" DBH), and encroaching Douglas-fir lacking sawmill value from the Elk Meadow Park Mountain Pine Beetle Mitigation Phase 2 at Elk Meadow Park project.</w:t>
      </w:r>
    </w:p>
    <w:p/>
    <w:p>
      <w:pPr>
        <w:pStyle w:val="Heading1"/>
      </w:pPr>
      <w:r>
        <w:rPr>
          <w:color w:val="1F497D"/>
          <w:sz w:val="26"/>
        </w:rPr>
        <w:t>A.2 — Organisation Listing (R-CWFE-0)</w:t>
      </w:r>
    </w:p>
    <w:p>
      <w:pPr>
        <w:spacing w:after="40"/>
      </w:pPr>
      <w:r>
        <w:rPr>
          <w:b/>
          <w:color w:val="444444"/>
          <w:sz w:val="22"/>
        </w:rPr>
        <w:t>Requirement</w:t>
      </w:r>
    </w:p>
    <w:p>
      <w:pPr>
        <w:spacing w:after="160"/>
        <w:ind w:left="288"/>
      </w:pPr>
      <w:r>
        <w:rPr>
          <w:sz w:val="22"/>
        </w:rPr>
        <w:t>Projects must list all organisations involved in providing the feedstock, with their company registration number, organisation name, address, contact person, contact email address, contact phone number and a description of the organisations role in the project.</w:t>
      </w:r>
    </w:p>
    <w:p>
      <w:pPr>
        <w:spacing w:after="40"/>
      </w:pPr>
      <w:r>
        <w:rPr>
          <w:b/>
          <w:color w:val="444444"/>
          <w:sz w:val="22"/>
        </w:rPr>
        <w:t>Submission</w:t>
      </w:r>
    </w:p>
    <w:p>
      <w:pPr>
        <w:spacing w:after="80"/>
        <w:ind w:left="288"/>
      </w:pPr>
      <w:r>
        <w:rPr>
          <w:sz w:val="22"/>
        </w:rPr>
        <w:t>Forester/Vendor</w:t>
        <w:br/>
        <w:t>SOCO Forest Management (SFM)</w:t>
        <w:br/>
        <w:t>EIN: 33-3502141</w:t>
        <w:br/>
        <w:t>CEO/Founder: Nathan Bean</w:t>
        <w:br/>
        <w:t>Phone: 205-753-7672</w:t>
        <w:br/>
        <w:t>Address: 135 Country Center Dr. F163, Pagosa Springs CO 81147</w:t>
      </w:r>
    </w:p>
    <w:p>
      <w:pPr>
        <w:spacing w:after="80"/>
        <w:ind w:left="288"/>
      </w:pPr>
      <w:r>
        <w:rPr>
          <w:sz w:val="22"/>
        </w:rPr>
        <w:t>*Note: SFM is our primary contact for biomass purchases. Any communications to JCPOS, ECFPD, etc. will be routed through them</w:t>
      </w:r>
    </w:p>
    <w:p>
      <w:pPr>
        <w:spacing w:after="80"/>
        <w:ind w:left="288"/>
      </w:pPr>
      <w:r>
        <w:rPr>
          <w:sz w:val="22"/>
        </w:rPr>
        <w:t>Hauler: [not yet completed]</w:t>
      </w:r>
    </w:p>
    <w:p/>
    <w:p>
      <w:pPr>
        <w:pStyle w:val="Heading1"/>
      </w:pPr>
      <w:r>
        <w:rPr>
          <w:color w:val="1F497D"/>
          <w:sz w:val="26"/>
        </w:rPr>
        <w:t>A.3 — SC1 — Sustainable Sourcing: Forestry Residues (R-6SHF-0)</w:t>
      </w:r>
    </w:p>
    <w:p>
      <w:pPr>
        <w:spacing w:after="40"/>
      </w:pPr>
      <w:r>
        <w:rPr>
          <w:b/>
          <w:color w:val="444444"/>
          <w:sz w:val="22"/>
        </w:rPr>
        <w:t>Requirement</w:t>
      </w:r>
    </w:p>
    <w:p>
      <w:pPr>
        <w:spacing w:after="160"/>
        <w:ind w:left="288"/>
      </w:pPr>
      <w:r>
        <w:rPr>
          <w:sz w:val="22"/>
        </w:rPr>
        <w:t>SC1: Projects must establish sustainable sourcing practices outlined for residues from forestry or non-retrofit downstream wood processing.</w:t>
      </w:r>
    </w:p>
    <w:p>
      <w:pPr>
        <w:spacing w:after="40"/>
      </w:pPr>
      <w:r>
        <w:rPr>
          <w:b/>
          <w:color w:val="444444"/>
          <w:sz w:val="22"/>
        </w:rPr>
        <w:t>Submission</w:t>
      </w:r>
    </w:p>
    <w:p>
      <w:pPr>
        <w:spacing w:after="80"/>
        <w:ind w:left="288"/>
      </w:pPr>
      <w:r>
        <w:rPr>
          <w:sz w:val="22"/>
        </w:rPr>
        <w:t>This is a wildfire fuels reduction project, funded by a grant from the Colorado Strategic Wildfire Action Program (COSWAP). This satisfies SC 1.1-1.3.</w:t>
      </w:r>
    </w:p>
    <w:p>
      <w:pPr>
        <w:spacing w:after="80"/>
        <w:ind w:left="288"/>
      </w:pPr>
      <w:r>
        <w:rPr>
          <w:sz w:val="22"/>
        </w:rPr>
        <w:t>Due to the simultaneous high wildfire risk and mountain pine beetle infestation in the Colorado Front Range, wildfire fuels reduction and beetle mitigation are coterminous, as is the case with this project.</w:t>
      </w:r>
    </w:p>
    <w:p/>
    <w:p>
      <w:pPr>
        <w:spacing w:after="40"/>
      </w:pPr>
      <w:r>
        <w:rPr>
          <w:b/>
          <w:color w:val="C0392B"/>
          <w:sz w:val="22"/>
        </w:rPr>
        <w:t>Open Issues</w:t>
      </w:r>
    </w:p>
    <w:p>
      <w:pPr>
        <w:ind w:left="288"/>
      </w:pPr>
      <w:r>
        <w:rPr>
          <w:sz w:val="20"/>
        </w:rPr>
        <w:t>ISS-40 | • Omission | REMI SUGGESTION | Provide Wildfire Mitigation Grant Evidence | Filed by Isometric</w:t>
      </w:r>
    </w:p>
    <w:p>
      <w:pPr>
        <w:ind w:left="288"/>
      </w:pPr>
      <w:r>
        <w:rPr>
          <w:sz w:val="20"/>
        </w:rPr>
        <w:t>ISS-39 | • Omission | REMI SUGGESTION | Provide Carbon Stock Assessment Evidence | Filed by Isometric</w:t>
      </w:r>
    </w:p>
    <w:p>
      <w:pPr>
        <w:ind w:left="288"/>
      </w:pPr>
      <w:r>
        <w:rPr>
          <w:color w:val="C0392B"/>
          <w:sz w:val="20"/>
        </w:rPr>
        <w:t>ISS-38 | • Omission | REMI SUGGESTION | Provide Certification or Risk Assessment | Filed by Isometric</w:t>
      </w:r>
    </w:p>
    <w:p/>
    <w:p>
      <w:pPr>
        <w:pStyle w:val="Heading1"/>
      </w:pPr>
      <w:r>
        <w:rPr>
          <w:color w:val="1F497D"/>
          <w:sz w:val="26"/>
        </w:rPr>
        <w:t>A.4 — SC7 — Sustainable Sourcing: Invasive Species (R-WPQD-0)</w:t>
      </w:r>
    </w:p>
    <w:p>
      <w:pPr>
        <w:spacing w:after="40"/>
      </w:pPr>
      <w:r>
        <w:rPr>
          <w:b/>
          <w:color w:val="444444"/>
          <w:sz w:val="22"/>
        </w:rPr>
        <w:t>Requirement</w:t>
      </w:r>
    </w:p>
    <w:p>
      <w:pPr>
        <w:spacing w:after="160"/>
        <w:ind w:left="288"/>
      </w:pPr>
      <w:r>
        <w:rPr>
          <w:sz w:val="22"/>
        </w:rPr>
        <w:t>SC7: Projects must establish sustainable sourcing practices outlined for invasive species.</w:t>
      </w:r>
    </w:p>
    <w:p>
      <w:pPr>
        <w:spacing w:after="40"/>
      </w:pPr>
      <w:r>
        <w:rPr>
          <w:b/>
          <w:color w:val="444444"/>
          <w:sz w:val="22"/>
        </w:rPr>
        <w:t>Submission</w:t>
      </w:r>
    </w:p>
    <w:p>
      <w:pPr>
        <w:spacing w:after="80"/>
        <w:ind w:left="288"/>
      </w:pPr>
      <w:r>
        <w:rPr>
          <w:sz w:val="22"/>
        </w:rPr>
        <w:t>Section 2b of the project Scope of Work requires "treatment of all trees that are identified with mountain pine beetle by approved methods to prevent beetles from infecting new trees."</w:t>
      </w:r>
    </w:p>
    <w:p>
      <w:pPr>
        <w:spacing w:after="80"/>
        <w:ind w:left="288"/>
      </w:pPr>
      <w:r>
        <w:rPr>
          <w:sz w:val="22"/>
        </w:rPr>
        <w:t>Further, Section 3b ix requires that infected trees are 1) Marked by the project manager, 2) Removed and treated by the contractor in accordance with documented, county-approved treatment options, and 3) The treatment used is approved by the project manager before starting work.</w:t>
      </w:r>
    </w:p>
    <w:p>
      <w:pPr>
        <w:spacing w:after="80"/>
        <w:ind w:left="288"/>
      </w:pPr>
      <w:r>
        <w:rPr>
          <w:sz w:val="22"/>
        </w:rPr>
        <w:t>While regionally native, the Colorado State Forest Service notes that "when forests are dense, unhealthy and stressed by drought and warm temperatures...populations of these deadly insects can explode to epidemic levels and be detrimental to forest health." While runaway infestations have fluctuated over time, "in recent years, oscillating precipitation and warm temperatures have left pine forests that largely escaped the prior epidemic susceptible to outbreaks of mountain pine beetles. As of April 2026 the CSFS has reported that "Ponderosa pine forests in portions of Larimer, Gilpin, Clear Creek, Boulder, Jefferson, Park, Douglas, El Paso and Teller counties that evaded prior bark beetle outbreaks are experiencing elevated mortality of trees as populations of mountain pine beetles expand." This project is located in Jefferson County.</w:t>
      </w:r>
    </w:p>
    <w:p>
      <w:pPr>
        <w:spacing w:after="80"/>
        <w:ind w:left="288"/>
      </w:pPr>
      <w:r>
        <w:rPr>
          <w:sz w:val="22"/>
        </w:rPr>
        <w:t>As discussed above, the mitigation of mountain pine beetle infestation and the reduction of wildfire fuels are coterminous in this region. This places the mitigation squarely within the context of a wider removal activity.</w:t>
      </w:r>
    </w:p>
    <w:p>
      <w:pPr>
        <w:spacing w:after="80"/>
        <w:ind w:left="288"/>
      </w:pPr>
      <w:r>
        <w:rPr>
          <w:sz w:val="22"/>
        </w:rPr>
        <w:t>CSFS Sources:</w:t>
        <w:br/>
        <w:t>https://csfs.colostate.edu/forest-management/common-forest-insects-diseases/mountain-pine-beetle/</w:t>
        <w:br/>
        <w:t>https://csfs.colostate.edu/forest-management/common-forest-insects-diseases/mountain-pine-beetle/about/</w:t>
      </w:r>
    </w:p>
    <w:p/>
    <w:p>
      <w:pPr>
        <w:pStyle w:val="Heading1"/>
      </w:pPr>
      <w:r>
        <w:rPr>
          <w:color w:val="1F497D"/>
          <w:sz w:val="26"/>
        </w:rPr>
        <w:t>A.5 — Counterfactual Scenario (R-GBK2-0)</w:t>
      </w:r>
    </w:p>
    <w:p>
      <w:pPr>
        <w:spacing w:after="40"/>
      </w:pPr>
      <w:r>
        <w:rPr>
          <w:b/>
          <w:color w:val="444444"/>
          <w:sz w:val="22"/>
        </w:rPr>
        <w:t>Requirement</w:t>
      </w:r>
    </w:p>
    <w:p>
      <w:pPr>
        <w:spacing w:after="160"/>
        <w:ind w:left="288"/>
      </w:pPr>
      <w:r>
        <w:rPr>
          <w:sz w:val="22"/>
        </w:rPr>
        <w:t>Projects must evidence what the most likely counterfactual scenario is for the feedstock.</w:t>
      </w:r>
    </w:p>
    <w:p>
      <w:pPr>
        <w:spacing w:after="40"/>
      </w:pPr>
      <w:r>
        <w:rPr>
          <w:b/>
          <w:color w:val="444444"/>
          <w:sz w:val="22"/>
        </w:rPr>
        <w:t>Submission</w:t>
      </w:r>
    </w:p>
    <w:p>
      <w:pPr>
        <w:spacing w:after="80"/>
        <w:ind w:left="288"/>
      </w:pPr>
      <w:r>
        <w:rPr>
          <w:sz w:val="22"/>
        </w:rPr>
        <w:t>The biomass purchased by Charm is non-merchantable wood removed from the forest as part of a wildfire fuels reduction project. The most likely counterfactual fate absent project intervention would be combustion.</w:t>
      </w:r>
    </w:p>
    <w:p>
      <w:pPr>
        <w:spacing w:after="80"/>
        <w:ind w:left="288"/>
      </w:pPr>
      <w:r>
        <w:rPr>
          <w:sz w:val="22"/>
        </w:rPr>
        <w:t>According to an affidavit from the forester leading the project, there is limited to no utilization for this type of feedstock in Colorado due to the quality of the wood and the species available. The wood is either considered crooked and does not meet sawmill standards or is not economically viable to transport due to the lack of sawmills in the area and the high cost of transportation. Supporting documentation was provided from the forester highlighting that the logs sourced from this project are considered non-merchantable biomass with limited disposal options in a fire-prone ecosystem. With this lack of utilization, the biomass from this project would most likely sit in the decking site of the area.</w:t>
      </w:r>
    </w:p>
    <w:p>
      <w:pPr>
        <w:spacing w:after="80"/>
        <w:ind w:left="288"/>
      </w:pPr>
      <w:r>
        <w:rPr>
          <w:sz w:val="22"/>
        </w:rPr>
        <w:t>According to the Colorado State Wildfire Risk map, this project area is considered to have a high level of wildfire risk, and a very high level for Wildland Urban Interface (WUI) risk. According to the U.S. Fire Administration, WUI is a term commonly known in areas that experience wildfires. It is a zone between wilderness land and human activity that is considered to have greater risk of catastrophic wildfires.</w:t>
      </w:r>
    </w:p>
    <w:p>
      <w:pPr>
        <w:spacing w:after="80"/>
        <w:ind w:left="288"/>
      </w:pPr>
      <w:r>
        <w:rPr>
          <w:sz w:val="22"/>
        </w:rPr>
        <w:t>The project site is over 81 miles from any biomass energy facility, eliminating the biomass from economically viable bioenergy based on the outer/maximum geographical limit for economically feasible biomass hauling when used as bio-energy feedstock per a USDA/USFS study by Jones, et. al.</w:t>
      </w:r>
    </w:p>
    <w:p/>
    <w:p>
      <w:pPr>
        <w:pStyle w:val="Heading1"/>
      </w:pPr>
      <w:r>
        <w:rPr>
          <w:color w:val="1F497D"/>
          <w:sz w:val="26"/>
        </w:rPr>
        <w:t>A.6 — CC2 — Wildfire Mitigation Program Evidence (R-QNAC-0)</w:t>
      </w:r>
    </w:p>
    <w:p>
      <w:pPr>
        <w:spacing w:after="40"/>
      </w:pPr>
      <w:r>
        <w:rPr>
          <w:b/>
          <w:color w:val="444444"/>
          <w:sz w:val="22"/>
        </w:rPr>
        <w:t>Requirement</w:t>
      </w:r>
    </w:p>
    <w:p>
      <w:pPr>
        <w:spacing w:after="160"/>
        <w:ind w:left="288"/>
      </w:pPr>
      <w:r>
        <w:rPr>
          <w:sz w:val="22"/>
        </w:rPr>
        <w:t>CC2: Projects must provide evidence that the feedstock was sourced from a wildfire mitigation program.</w:t>
      </w:r>
    </w:p>
    <w:p>
      <w:pPr>
        <w:spacing w:after="40"/>
      </w:pPr>
      <w:r>
        <w:rPr>
          <w:b/>
          <w:color w:val="444444"/>
          <w:sz w:val="22"/>
        </w:rPr>
        <w:t>Submission</w:t>
      </w:r>
    </w:p>
    <w:p>
      <w:pPr>
        <w:spacing w:after="80"/>
        <w:ind w:left="288"/>
      </w:pPr>
      <w:r>
        <w:rPr>
          <w:sz w:val="22"/>
        </w:rPr>
        <w:t>Charm is providing the following evidence that the feedstock has been sourced from a wildfire mitigation program:</w:t>
      </w:r>
    </w:p>
    <w:p>
      <w:pPr>
        <w:spacing w:after="80"/>
        <w:ind w:left="288"/>
      </w:pPr>
      <w:r>
        <w:rPr>
          <w:sz w:val="22"/>
        </w:rPr>
        <w:t>COSWAP Landscape Resilience Grant documentation, documenting the award of the underlying COSWAP grant to the Elk Creek Fire Protection District (ECFPD) by the Colorado Department of Natural Resources (CDNR)</w:t>
      </w:r>
    </w:p>
    <w:p>
      <w:pPr>
        <w:spacing w:after="80"/>
        <w:ind w:left="288"/>
      </w:pPr>
      <w:r>
        <w:rPr>
          <w:sz w:val="22"/>
        </w:rPr>
        <w:t>The COSWAP grant application section 1 names the ECFPD as the fiscal agent, delegating funds to Jefferson County Open Space (noted elsewhere as Jefferson County Parks and Open Space or JCPOS).</w:t>
      </w:r>
    </w:p>
    <w:p>
      <w:pPr>
        <w:spacing w:after="80"/>
        <w:ind w:left="288"/>
      </w:pPr>
      <w:r>
        <w:rPr>
          <w:sz w:val="22"/>
        </w:rPr>
        <w:t>The affidavit provided by the forester from JCPOS attests that the contractor SOCO Forest Management has been contracted to execute the Mountain Pine Beetle Mitigation Phase 2 at Elk Meadow Park project.</w:t>
      </w:r>
    </w:p>
    <w:p>
      <w:pPr>
        <w:spacing w:after="80"/>
        <w:ind w:left="288"/>
      </w:pPr>
      <w:r>
        <w:rPr>
          <w:sz w:val="22"/>
        </w:rPr>
        <w:t>The Exhibit A of the purchase agreement between SOCO Forest Management and Charm specifies that biomass purchased under the agreement will consist of non-sawmill quantity softwood sourced from the Elk Meadow MPB Phase II Project.</w:t>
      </w:r>
    </w:p>
    <w:p>
      <w:pPr>
        <w:spacing w:after="80"/>
        <w:ind w:left="288"/>
      </w:pPr>
      <w:r>
        <w:rPr>
          <w:sz w:val="22"/>
        </w:rPr>
        <w:t>As deliveries are executed, the hauler will provide Charm with scale tickets which will be retained and recorded in the delivery log, as has been the standard practice for Charm's sourcing of woody biomass from other wildfire mitigation projects.</w:t>
      </w:r>
    </w:p>
    <w:p/>
    <w:p>
      <w:pPr>
        <w:pStyle w:val="Heading1"/>
      </w:pPr>
      <w:r>
        <w:rPr>
          <w:color w:val="1F497D"/>
          <w:sz w:val="26"/>
        </w:rPr>
        <w:t>A.7 — PF2 — Long-lived Wood / Pulpwood Exemption (R-JKXB-0)</w:t>
      </w:r>
    </w:p>
    <w:p>
      <w:pPr>
        <w:spacing w:after="40"/>
      </w:pPr>
      <w:r>
        <w:rPr>
          <w:b/>
          <w:color w:val="444444"/>
          <w:sz w:val="22"/>
        </w:rPr>
        <w:t>Requirement</w:t>
      </w:r>
    </w:p>
    <w:p>
      <w:pPr>
        <w:spacing w:after="160"/>
        <w:ind w:left="288"/>
      </w:pPr>
      <w:r>
        <w:rPr>
          <w:sz w:val="22"/>
        </w:rPr>
        <w:t>PF2: Projects must provide evidence that the feedstock was not suitable for use in long-lived wood or pulpwood.</w:t>
      </w:r>
    </w:p>
    <w:p>
      <w:pPr>
        <w:spacing w:after="40"/>
      </w:pPr>
      <w:r>
        <w:rPr>
          <w:b/>
          <w:color w:val="444444"/>
          <w:sz w:val="22"/>
        </w:rPr>
        <w:t>Submission</w:t>
      </w:r>
    </w:p>
    <w:p>
      <w:pPr>
        <w:spacing w:after="80"/>
        <w:ind w:left="288"/>
      </w:pPr>
      <w:r>
        <w:rPr>
          <w:sz w:val="22"/>
        </w:rPr>
        <w:t>"Feedstocks sourced from wildfire mitigation programs are exempt from this requirement if the Project Proponent can provide evidence that the feedstock was sourced by, or to meet the clear goals of, a government supported wildfire mitigation program, including evidence of program participation and chain-of-custody."</w:t>
      </w:r>
    </w:p>
    <w:p>
      <w:pPr>
        <w:spacing w:after="80"/>
        <w:ind w:left="288"/>
      </w:pPr>
      <w:r>
        <w:rPr>
          <w:sz w:val="22"/>
        </w:rPr>
        <w:t>The evidence discussed is already enumerated in A.6.</w:t>
      </w:r>
    </w:p>
    <w:p/>
    <w:p>
      <w:pPr>
        <w:pStyle w:val="Heading1"/>
      </w:pPr>
      <w:r>
        <w:rPr>
          <w:color w:val="1F497D"/>
          <w:sz w:val="26"/>
        </w:rPr>
        <w:t>A.8 — ML1 — Market Leakage Quantification (R-68S0-0)</w:t>
      </w:r>
    </w:p>
    <w:p>
      <w:pPr>
        <w:spacing w:after="40"/>
      </w:pPr>
      <w:r>
        <w:rPr>
          <w:b/>
          <w:color w:val="444444"/>
          <w:sz w:val="22"/>
        </w:rPr>
        <w:t>Requirement</w:t>
      </w:r>
    </w:p>
    <w:p>
      <w:pPr>
        <w:spacing w:after="160"/>
        <w:ind w:left="288"/>
      </w:pPr>
      <w:r>
        <w:rPr>
          <w:sz w:val="22"/>
        </w:rPr>
        <w:t>ML1: Projects must quantify the emissions associated with market leakage and provide the documentation used in this quantification including references, data-sets and assumptions.</w:t>
      </w:r>
    </w:p>
    <w:p>
      <w:pPr>
        <w:spacing w:after="40"/>
      </w:pPr>
      <w:r>
        <w:rPr>
          <w:b/>
          <w:color w:val="444444"/>
          <w:sz w:val="22"/>
        </w:rPr>
        <w:t>Submission</w:t>
      </w:r>
    </w:p>
    <w:p>
      <w:pPr>
        <w:spacing w:after="80"/>
        <w:ind w:left="288"/>
      </w:pPr>
      <w:r>
        <w:rPr>
          <w:sz w:val="22"/>
        </w:rPr>
        <w:t>The market leakage emissions are quantified as zero because the biomass has been made available to meet the goals of a wildfire fuels reduction market, not as a response to market demand.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