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0"/>
        </w:rPr>
        <w:t>CHARM INDUSTRIAL</w:t>
      </w:r>
    </w:p>
    <w:p>
      <w:pPr>
        <w:spacing w:after="200"/>
      </w:pPr>
      <w:r>
        <w:rPr>
          <w:b/>
          <w:color w:val="222222"/>
          <w:sz w:val="25"/>
        </w:rPr>
        <w:t>Partnership Escalation — Reporting Reliability and Team Continuity</w:t>
      </w:r>
    </w:p>
    <w:p>
      <w:pPr>
        <w:spacing w:after="20"/>
      </w:pPr>
      <w:r>
        <w:rPr>
          <w:b/>
          <w:color w:val="1F3A5F"/>
          <w:sz w:val="21"/>
        </w:rPr>
        <w:t xml:space="preserve">To:  </w:t>
      </w:r>
      <w:r>
        <w:rPr>
          <w:color w:val="222222"/>
          <w:sz w:val="21"/>
        </w:rPr>
        <w:t>Annie, Mangrove Systems</w:t>
      </w:r>
    </w:p>
    <w:p>
      <w:pPr>
        <w:spacing w:after="20"/>
      </w:pPr>
      <w:r>
        <w:rPr>
          <w:b/>
          <w:color w:val="1F3A5F"/>
          <w:sz w:val="21"/>
        </w:rPr>
        <w:t xml:space="preserve">From:  </w:t>
      </w:r>
      <w:r>
        <w:rPr>
          <w:color w:val="222222"/>
          <w:sz w:val="21"/>
        </w:rPr>
        <w:t>Max Lavine, Carbon Protocol and Verification Lead, Charm Industrial</w:t>
      </w:r>
    </w:p>
    <w:p>
      <w:pPr>
        <w:spacing w:after="20"/>
      </w:pPr>
      <w:r>
        <w:rPr>
          <w:b/>
          <w:color w:val="1F3A5F"/>
          <w:sz w:val="21"/>
        </w:rPr>
        <w:t xml:space="preserve">Date:  </w:t>
      </w:r>
      <w:r>
        <w:rPr>
          <w:color w:val="222222"/>
          <w:sz w:val="21"/>
        </w:rPr>
        <w:t>July 13, 2026</w:t>
      </w:r>
    </w:p>
    <w:p>
      <w:pPr>
        <w:spacing w:after="120"/>
      </w:pPr>
      <w:r>
        <w:rPr>
          <w:b/>
          <w:color w:val="1F3A5F"/>
          <w:sz w:val="21"/>
        </w:rPr>
        <w:t xml:space="preserve">Re:  </w:t>
      </w:r>
      <w:r>
        <w:rPr>
          <w:color w:val="222222"/>
          <w:sz w:val="21"/>
        </w:rPr>
        <w:t>Recurring reporting-close failures and a proposed Quarterly Business Review</w:t>
      </w:r>
    </w:p>
    <w:p>
      <w:pPr>
        <w:pBdr>
          <w:bottom w:val="single" w:sz="6" w:space="1" w:color="1F3A5F"/>
        </w:pBdr>
        <w:spacing w:after="160"/>
      </w:pPr>
    </w:p>
    <w:p>
      <w:pPr>
        <w:spacing w:before="280" w:after="80"/>
      </w:pPr>
      <w:r>
        <w:rPr>
          <w:rFonts w:ascii="Calibri" w:hAnsi="Calibri"/>
          <w:b/>
          <w:color w:val="1F3A5F"/>
          <w:sz w:val="27"/>
        </w:rPr>
        <w:t>Purpose</w:t>
      </w:r>
    </w:p>
    <w:p>
      <w:pPr>
        <w:spacing w:after="160"/>
      </w:pPr>
      <w:r>
        <w:rPr>
          <w:b w:val="0"/>
          <w:color w:val="222222"/>
          <w:sz w:val="22"/>
        </w:rPr>
        <w:t>Aaron let us know on July 7 that he has shifted off the Charm account. His departure is the immediate prompt for this note, but it points at two underlying issues we want to work through with you:</w:t>
      </w:r>
    </w:p>
    <w:p>
      <w:pPr>
        <w:pStyle w:val="ListBullet"/>
        <w:spacing w:after="60"/>
        <w:ind w:left="360"/>
      </w:pPr>
      <w:r>
        <w:t>We keep running into the same issues close after close, without a durable resolution.</w:t>
      </w:r>
    </w:p>
    <w:p>
      <w:pPr>
        <w:pStyle w:val="ListBullet"/>
        <w:spacing w:after="60"/>
        <w:ind w:left="360"/>
      </w:pPr>
      <w:r>
        <w:t>Mangrove resources move onto and off of our account frequently, and each change risks losing hard-won knowledge about how Charm's reporting works.</w:t>
      </w:r>
    </w:p>
    <w:p>
      <w:pPr>
        <w:spacing w:after="160"/>
      </w:pPr>
      <w:r>
        <w:rPr>
          <w:b w:val="0"/>
          <w:color w:val="222222"/>
          <w:sz w:val="22"/>
        </w:rPr>
        <w:t>We want to address both — and their root causes — so we stop hitting the same blockers every time we close a reporting period. Turnover is normal at a startup; that is exactly why we need reliable mechanisms to carry knowledge across those changes, so the work isn't one step forward and two steps back. This note lays out the pattern, what we need to reach a reliable close, and a proposal to review progress together at a Quarterly Business Review.</w:t>
      </w:r>
    </w:p>
    <w:p>
      <w:pPr>
        <w:spacing w:before="280" w:after="80"/>
      </w:pPr>
      <w:r>
        <w:rPr>
          <w:rFonts w:ascii="Calibri" w:hAnsi="Calibri"/>
          <w:b/>
          <w:color w:val="1F3A5F"/>
          <w:sz w:val="27"/>
        </w:rPr>
        <w:t>Executive Summary</w:t>
      </w:r>
    </w:p>
    <w:p>
      <w:pPr>
        <w:pStyle w:val="ListBullet"/>
        <w:spacing w:after="60"/>
        <w:ind w:left="360"/>
      </w:pPr>
      <w:r>
        <w:t>Two linked issues sit behind this note: the same failures recur close after close without durable resolution, and Mangrove team members rotate on and off the Charm account (most recently Aaron on July 7), risking knowledge loss each time.</w:t>
      </w:r>
    </w:p>
    <w:p>
      <w:pPr>
        <w:pStyle w:val="ListBullet"/>
        <w:spacing w:after="60"/>
        <w:ind w:left="360"/>
      </w:pPr>
      <w:r>
        <w:t>The recurrence is documented in Section 1: six failure classes, all recurring across at least three closes. Duplicated data and BCU handling have hit every close on record and trace back to Charm's first submissions in October 2025 — roughly nine months (October 2025 to the June 2026 close) without a durable fix.</w:t>
      </w:r>
    </w:p>
    <w:p>
      <w:pPr>
        <w:pStyle w:val="ListBullet"/>
        <w:spacing w:after="60"/>
        <w:ind w:left="360"/>
      </w:pPr>
      <w:r>
        <w:t>Several issues clear each period only through Garrett's manual workarounds rather than platform fixes. One of Mangrove's own notes describes the current brine-transport fix as “a hack” that has not been validated end to end.</w:t>
      </w:r>
    </w:p>
    <w:p>
      <w:pPr>
        <w:pStyle w:val="ListBullet"/>
        <w:spacing w:after="60"/>
        <w:ind w:left="360"/>
      </w:pPr>
      <w:r>
        <w:t>Turnover is expected at a startup; that makes dependable knowledge transfer all the more important, so progress isn't reset each time someone rotates off the account.</w:t>
      </w:r>
    </w:p>
    <w:p>
      <w:pPr>
        <w:pStyle w:val="ListBullet"/>
        <w:spacing w:after="60"/>
        <w:ind w:left="360"/>
      </w:pPr>
      <w:r>
        <w:t>We need root causes addressed with a concrete plan — owners and dates — to reach a repeatable, workaround-free submission, and we propose a Quarterly Business Review with Mangrove leadership to align on it and track progress.</w:t>
      </w:r>
    </w:p>
    <w:p>
      <w:pPr>
        <w:spacing w:before="280" w:after="80"/>
      </w:pPr>
      <w:r>
        <w:rPr>
          <w:rFonts w:ascii="Calibri" w:hAnsi="Calibri"/>
          <w:b/>
          <w:color w:val="1F3A5F"/>
          <w:sz w:val="27"/>
        </w:rPr>
        <w:t>1. A recurring pattern at reporting-period close</w:t>
      </w:r>
    </w:p>
    <w:p>
      <w:pPr>
        <w:spacing w:after="120"/>
      </w:pPr>
      <w:r>
        <w:rPr>
          <w:b w:val="0"/>
          <w:color w:val="222222"/>
          <w:sz w:val="22"/>
        </w:rPr>
        <w:t>The problem is not any single failure; it is that the same failures return close after close. The table maps each recurring issue against Charm's reporting periods, marked (●) in each period we have a record of it. A blank means we found no record for that period — not that the close was clean. The most recent close is the June reporting period, worked into early July.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3672"/>
            <w:vAlign w:val="center"/>
            <w:shd w:val="clear" w:color="auto" w:fill="1F3A5F"/>
          </w:tcPr>
          <w:p>
            <w:pPr>
              <w:spacing w:after="0" w:before="0"/>
              <w:jc w:val="left"/>
            </w:pPr>
            <w:r/>
            <w:r>
              <w:rPr>
                <w:rFonts w:ascii="Calibri" w:hAnsi="Calibri"/>
                <w:b/>
                <w:color w:val="FFFFFF"/>
                <w:sz w:val="19"/>
              </w:rPr>
              <w:t>Recurring issue</w:t>
            </w:r>
          </w:p>
        </w:tc>
        <w:tc>
          <w:tcPr>
            <w:tcW w:type="dxa" w:w="936"/>
            <w:vAlign w:val="center"/>
            <w:shd w:val="clear" w:color="auto" w:fill="1F3A5F"/>
          </w:tcPr>
          <w:p>
            <w:pPr>
              <w:spacing w:after="0" w:before="0"/>
              <w:jc w:val="center"/>
            </w:pPr>
            <w:r/>
            <w:r>
              <w:rPr>
                <w:rFonts w:ascii="Calibri" w:hAnsi="Calibri"/>
                <w:b/>
                <w:color w:val="FFFFFF"/>
                <w:sz w:val="17"/>
              </w:rPr>
              <w:t>Oct–Dec '25</w:t>
            </w:r>
          </w:p>
        </w:tc>
        <w:tc>
          <w:tcPr>
            <w:tcW w:type="dxa" w:w="576"/>
            <w:vAlign w:val="center"/>
            <w:shd w:val="clear" w:color="auto" w:fill="1F3A5F"/>
          </w:tcPr>
          <w:p>
            <w:pPr>
              <w:spacing w:after="0" w:before="0"/>
              <w:jc w:val="center"/>
            </w:pPr>
            <w:r/>
            <w:r>
              <w:rPr>
                <w:rFonts w:ascii="Calibri" w:hAnsi="Calibri"/>
                <w:b/>
                <w:color w:val="FFFFFF"/>
                <w:sz w:val="17"/>
              </w:rPr>
              <w:t>Feb</w:t>
            </w:r>
          </w:p>
        </w:tc>
        <w:tc>
          <w:tcPr>
            <w:tcW w:type="dxa" w:w="576"/>
            <w:vAlign w:val="center"/>
            <w:shd w:val="clear" w:color="auto" w:fill="1F3A5F"/>
          </w:tcPr>
          <w:p>
            <w:pPr>
              <w:spacing w:after="0" w:before="0"/>
              <w:jc w:val="center"/>
            </w:pPr>
            <w:r/>
            <w:r>
              <w:rPr>
                <w:rFonts w:ascii="Calibri" w:hAnsi="Calibri"/>
                <w:b/>
                <w:color w:val="FFFFFF"/>
                <w:sz w:val="17"/>
              </w:rPr>
              <w:t>Mar</w:t>
            </w:r>
          </w:p>
        </w:tc>
        <w:tc>
          <w:tcPr>
            <w:tcW w:type="dxa" w:w="576"/>
            <w:vAlign w:val="center"/>
            <w:shd w:val="clear" w:color="auto" w:fill="1F3A5F"/>
          </w:tcPr>
          <w:p>
            <w:pPr>
              <w:spacing w:after="0" w:before="0"/>
              <w:jc w:val="center"/>
            </w:pPr>
            <w:r/>
            <w:r>
              <w:rPr>
                <w:rFonts w:ascii="Calibri" w:hAnsi="Calibri"/>
                <w:b/>
                <w:color w:val="FFFFFF"/>
                <w:sz w:val="17"/>
              </w:rPr>
              <w:t>Apr</w:t>
            </w:r>
          </w:p>
        </w:tc>
        <w:tc>
          <w:tcPr>
            <w:tcW w:type="dxa" w:w="576"/>
            <w:vAlign w:val="center"/>
            <w:shd w:val="clear" w:color="auto" w:fill="1F3A5F"/>
          </w:tcPr>
          <w:p>
            <w:pPr>
              <w:spacing w:after="0" w:before="0"/>
              <w:jc w:val="center"/>
            </w:pPr>
            <w:r/>
            <w:r>
              <w:rPr>
                <w:rFonts w:ascii="Calibri" w:hAnsi="Calibri"/>
                <w:b/>
                <w:color w:val="FFFFFF"/>
                <w:sz w:val="17"/>
              </w:rPr>
              <w:t>May</w:t>
            </w:r>
          </w:p>
        </w:tc>
        <w:tc>
          <w:tcPr>
            <w:tcW w:type="dxa" w:w="576"/>
            <w:vAlign w:val="center"/>
            <w:shd w:val="clear" w:color="auto" w:fill="1F3A5F"/>
          </w:tcPr>
          <w:p>
            <w:pPr>
              <w:spacing w:after="0" w:before="0"/>
              <w:jc w:val="center"/>
            </w:pPr>
            <w:r/>
            <w:r>
              <w:rPr>
                <w:rFonts w:ascii="Calibri" w:hAnsi="Calibri"/>
                <w:b/>
                <w:color w:val="FFFFFF"/>
                <w:sz w:val="17"/>
              </w:rPr>
              <w:t>Jun</w:t>
            </w:r>
          </w:p>
        </w:tc>
      </w:tr>
      <w:tr>
        <w:tc>
          <w:tcPr>
            <w:tcW w:type="dxa" w:w="3672"/>
            <w:vAlign w:val="center"/>
          </w:tcPr>
          <w:p>
            <w:pPr>
              <w:spacing w:after="0" w:before="0"/>
              <w:jc w:val="left"/>
            </w:pPr>
            <w:r/>
            <w:r>
              <w:rPr>
                <w:rFonts w:ascii="Calibri" w:hAnsi="Calibri"/>
                <w:b w:val="0"/>
                <w:color w:val="222222"/>
                <w:sz w:val="18"/>
              </w:rPr>
              <w:t>Submission to Isometric fails outright (hard error, zero batches, or timeout)</w:t>
            </w:r>
          </w:p>
        </w:tc>
        <w:tc>
          <w:tcPr>
            <w:tcW w:type="dxa" w:w="93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r>
        <w:tc>
          <w:tcPr>
            <w:tcW w:type="dxa" w:w="3672"/>
            <w:vAlign w:val="center"/>
          </w:tcPr>
          <w:p>
            <w:pPr>
              <w:spacing w:after="0" w:before="0"/>
              <w:jc w:val="left"/>
            </w:pPr>
            <w:r/>
            <w:r>
              <w:rPr>
                <w:rFonts w:ascii="Calibri" w:hAnsi="Calibri"/>
                <w:b w:val="0"/>
                <w:color w:val="222222"/>
                <w:sz w:val="18"/>
              </w:rPr>
              <w:t>Emissions categories go missing after transmit (electricity, Argon, rail, AECN→SOPOR, upstream)</w:t>
            </w:r>
          </w:p>
        </w:tc>
        <w:tc>
          <w:tcPr>
            <w:tcW w:type="dxa" w:w="93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r>
        <w:tc>
          <w:tcPr>
            <w:tcW w:type="dxa" w:w="3672"/>
            <w:vAlign w:val="center"/>
          </w:tcPr>
          <w:p>
            <w:pPr>
              <w:spacing w:after="0" w:before="0"/>
              <w:jc w:val="left"/>
            </w:pPr>
            <w:r/>
            <w:r>
              <w:rPr>
                <w:rFonts w:ascii="Calibri" w:hAnsi="Calibri"/>
                <w:b w:val="0"/>
                <w:color w:val="222222"/>
                <w:sz w:val="18"/>
              </w:rPr>
              <w:t>Duplicate data transmitted (evidence, components, or batches)</w:t>
            </w:r>
          </w:p>
        </w:tc>
        <w:tc>
          <w:tcPr>
            <w:tcW w:type="dxa" w:w="93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r>
        <w:tc>
          <w:tcPr>
            <w:tcW w:type="dxa" w:w="3672"/>
            <w:vAlign w:val="center"/>
          </w:tcPr>
          <w:p>
            <w:pPr>
              <w:spacing w:after="0" w:before="0"/>
              <w:jc w:val="left"/>
            </w:pPr>
            <w:r/>
            <w:r>
              <w:rPr>
                <w:rFonts w:ascii="Calibri" w:hAnsi="Calibri"/>
                <w:b w:val="0"/>
                <w:color w:val="222222"/>
                <w:sz w:val="18"/>
              </w:rPr>
              <w:t>A batch or monthly close cannot be completed (create / complete / allocate)</w:t>
            </w:r>
          </w:p>
        </w:tc>
        <w:tc>
          <w:tcPr>
            <w:tcW w:type="dxa" w:w="93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r>
        <w:tc>
          <w:tcPr>
            <w:tcW w:type="dxa" w:w="3672"/>
            <w:vAlign w:val="center"/>
          </w:tcPr>
          <w:p>
            <w:pPr>
              <w:spacing w:after="0" w:before="0"/>
              <w:jc w:val="left"/>
            </w:pPr>
            <w:r/>
            <w:r>
              <w:rPr>
                <w:rFonts w:ascii="Calibri" w:hAnsi="Calibri"/>
                <w:b w:val="0"/>
                <w:color w:val="222222"/>
                <w:sz w:val="18"/>
              </w:rPr>
              <w:t>Unit or emission-factor conversion errors and drift</w:t>
            </w:r>
          </w:p>
        </w:tc>
        <w:tc>
          <w:tcPr>
            <w:tcW w:type="dxa" w:w="936"/>
            <w:vAlign w:val="center"/>
          </w:tcPr>
          <w:p>
            <w:pPr>
              <w:spacing w:after="0" w:before="0"/>
              <w:jc w:val="center"/>
            </w:pPr>
            <w:r/>
            <w:r>
              <w:rPr>
                <w:rFonts w:ascii="Calibri" w:hAnsi="Calibri"/>
                <w:b w:val="0"/>
                <w:color w:val="B8B8B8"/>
                <w:sz w:val="18"/>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r>
        <w:tc>
          <w:tcPr>
            <w:tcW w:type="dxa" w:w="3672"/>
            <w:vAlign w:val="center"/>
          </w:tcPr>
          <w:p>
            <w:pPr>
              <w:spacing w:after="0" w:before="0"/>
              <w:jc w:val="left"/>
            </w:pPr>
            <w:r/>
            <w:r>
              <w:rPr>
                <w:rFonts w:ascii="Calibri" w:hAnsi="Calibri"/>
                <w:b w:val="0"/>
                <w:color w:val="222222"/>
                <w:sz w:val="18"/>
              </w:rPr>
              <w:t>BCU handling breaks (cannot edit, won't transmit, or skipped)</w:t>
            </w:r>
          </w:p>
        </w:tc>
        <w:tc>
          <w:tcPr>
            <w:tcW w:type="dxa" w:w="93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c>
          <w:tcPr>
            <w:tcW w:type="dxa" w:w="576"/>
            <w:vAlign w:val="center"/>
          </w:tcPr>
          <w:p>
            <w:pPr>
              <w:spacing w:after="0" w:before="0"/>
              <w:jc w:val="center"/>
            </w:pPr>
            <w:r/>
            <w:r>
              <w:rPr>
                <w:rFonts w:ascii="Calibri" w:hAnsi="Calibri"/>
                <w:b/>
                <w:color w:val="1F3A5F"/>
                <w:sz w:val="22"/>
              </w:rPr>
              <w:t>●</w:t>
            </w:r>
          </w:p>
        </w:tc>
      </w:tr>
    </w:tbl>
    <w:p>
      <w:pPr>
        <w:spacing w:after="120"/>
      </w:pPr>
      <w:r>
        <w:rPr>
          <w:b w:val="0"/>
          <w:color w:val="222222"/>
          <w:sz w:val="22"/>
        </w:rPr>
        <w:t>All six failure classes recur. Duplicated data and BCU handling have hit every close on record; three others recur at five of six. Both trace to Charm's first submissions in October 2025 and were still live in the most recent close (the June reporting period) — roughly nine months without a durable fix. Several clear each period only through manual workarounds. The platform is not yet carrying a full reporting period cleanly on its own.</w:t>
      </w:r>
    </w:p>
    <w:p>
      <w:pPr>
        <w:spacing w:before="160" w:after="60"/>
      </w:pPr>
      <w:r>
        <w:rPr>
          <w:rFonts w:ascii="Calibri" w:hAnsi="Calibri"/>
          <w:b/>
          <w:color w:val="222222"/>
          <w:sz w:val="23"/>
        </w:rPr>
        <w:t>Evidence (from #mangrove-charm-poc and the Mangrove/Charm meeting notes, reviewed July 13)</w:t>
      </w:r>
    </w:p>
    <w:p>
      <w:pPr>
        <w:spacing w:after="40"/>
        <w:ind w:left="144"/>
      </w:pPr>
      <w:r>
        <w:rPr>
          <w:b/>
          <w:color w:val="222222"/>
          <w:sz w:val="17"/>
        </w:rPr>
        <w:t xml:space="preserve">Submission fails outright: </w:t>
      </w:r>
      <w:r>
        <w:rPr>
          <w:color w:val="555555"/>
          <w:sz w:val="17"/>
        </w:rPr>
        <w:t>Feb — Feb 6: “Got this error when trying to transmit a removal … Time sensitive.” · Mar — Mar 2: “Failed to run on 2-130 … no data found total distance: AECN→SOPOR.” · Apr — Apr 6: “API submission failure. Need this ASAP for March reporting.” · May — May 11: “Got a failure on a transmission … BCU?” · Jun — Jun 29: “no. of batches transmitted: 0” (HTTP 422); Jul 7: “HTTP Response: 503 … connection timeout.”</w:t>
      </w:r>
    </w:p>
    <w:p>
      <w:pPr>
        <w:spacing w:after="40"/>
        <w:ind w:left="144"/>
      </w:pPr>
      <w:r>
        <w:rPr>
          <w:b/>
          <w:color w:val="222222"/>
          <w:sz w:val="17"/>
        </w:rPr>
        <w:t xml:space="preserve">Categories go missing: </w:t>
      </w:r>
      <w:r>
        <w:rPr>
          <w:color w:val="555555"/>
          <w:sz w:val="17"/>
        </w:rPr>
        <w:t>Mar — Mar 5: “I see electricity in the site emission batch here, but I don't see it in the removal.” · May — May 12: “This transmitted, but the AECN upstream emissions are not here.” · Jun — Jul 8: “Electricity and Argon did not transmit … missing the rail and upstream AECN→SOPOR.”</w:t>
      </w:r>
    </w:p>
    <w:p>
      <w:pPr>
        <w:spacing w:after="40"/>
        <w:ind w:left="144"/>
      </w:pPr>
      <w:r>
        <w:rPr>
          <w:b/>
          <w:color w:val="222222"/>
          <w:sz w:val="17"/>
        </w:rPr>
        <w:t xml:space="preserve">Duplicate data: </w:t>
      </w:r>
      <w:r>
        <w:rPr>
          <w:color w:val="555555"/>
          <w:sz w:val="17"/>
        </w:rPr>
        <w:t>Oct–Dec '25 — Oct 16 (Kohzy): “not clear … what … is causing us to create duplicate evidence files”; Dec 17 (Aaron): “Previous feedback regarding duplicate evidence files is still relevant, we haven't yet addressed this.” · Feb — Feb 5 (Oleh): “the error was caused by duplicated batches.” · Mar — Mar 5: “duplicate components … coming from diesel delivery transport … the other two are repeats.” · Apr — Apr 24: “a bunch of extra evidences … Ops Notes gets attached for each event to each component.” · May — May 6 (Oleh): “a few duplicated events created … removed them.” · Jun — Jul 8: “the B6 Vendor Delivery Process and EE are duplicated.”</w:t>
      </w:r>
    </w:p>
    <w:p>
      <w:pPr>
        <w:spacing w:after="40"/>
        <w:ind w:left="144"/>
      </w:pPr>
      <w:r>
        <w:rPr>
          <w:b/>
          <w:color w:val="222222"/>
          <w:sz w:val="17"/>
        </w:rPr>
        <w:t xml:space="preserve">Batch / close cannot complete: </w:t>
      </w:r>
      <w:r>
        <w:rPr>
          <w:color w:val="555555"/>
          <w:sz w:val="17"/>
        </w:rPr>
        <w:t>Feb — Feb 4: “error on the batch generation.” · Mar — Mar 4: “‘Incomplete’ field … won't let me attach these site emissions to a removal.” · Apr — Apr 23: “error when trying to create a removal.” · May — May 8: “Having trouble getting 300098 generated.” · Jun — Jul 6: “Cannot allocate 10% … 92% has already been allocated … mission critical for June RP”; Jul 8: RECs bypass “gave us a bug when creating a site emissions batch and injection batch.”</w:t>
      </w:r>
    </w:p>
    <w:p>
      <w:pPr>
        <w:spacing w:after="40"/>
        <w:ind w:left="144"/>
      </w:pPr>
      <w:r>
        <w:rPr>
          <w:b/>
          <w:color w:val="222222"/>
          <w:sz w:val="17"/>
        </w:rPr>
        <w:t xml:space="preserve">Unit / EF errors: </w:t>
      </w:r>
      <w:r>
        <w:rPr>
          <w:color w:val="555555"/>
          <w:sz w:val="17"/>
        </w:rPr>
        <w:t>Feb — Feb 26: “EE calculated as tonne-miles*EF … should this be just miles*EF?” · Mar — Mar 17: brine “Gallons vs MT.” · Apr — Apr 9: Kerry EF drift (0.0001384 MT/t·mi vs 84 g/km·t). · May — May 6: propane EF 3.63 vs 3.66 delta. · Jun — Jun 8: brine unit-parser bug (“Can't convert from [gal_us]²·kgCO₂e to tCO₂e”).</w:t>
      </w:r>
    </w:p>
    <w:p>
      <w:pPr>
        <w:spacing w:after="40"/>
        <w:ind w:left="144"/>
      </w:pPr>
      <w:r>
        <w:rPr>
          <w:b/>
          <w:color w:val="222222"/>
          <w:sz w:val="17"/>
        </w:rPr>
        <w:t xml:space="preserve">BCU handling: </w:t>
      </w:r>
      <w:r>
        <w:rPr>
          <w:color w:val="555555"/>
          <w:sz w:val="17"/>
        </w:rPr>
        <w:t>Oct–Dec '25 — Oct 16 (Kohzy): “Ed flagged that BCU certs weren't transmitted.” · Feb — Feb 13: “Our BCU inventory is slightly off … need to reconcile.” · Mar — Mar 3: “1608 is the correct total BCUs but they are replicated … just not input BCU's.” · Apr — Apr 28: “Still doing this manually … editing is locked.” · May — May 27: “Can't edit it after the fact.” · Jun — Jun 29 (Aaron): “BCUs … aren't working properly via API”; post-mortem: BCUs skipped, “not worth the risk.”</w:t>
      </w:r>
    </w:p>
    <w:p>
      <w:pPr>
        <w:spacing w:before="160" w:after="60"/>
      </w:pPr>
      <w:r>
        <w:rPr>
          <w:rFonts w:ascii="Calibri" w:hAnsi="Calibri"/>
          <w:b/>
          <w:color w:val="222222"/>
          <w:sz w:val="23"/>
        </w:rPr>
        <w:t>The most recent close (June reporting period, worked into July), in one sitting</w:t>
      </w:r>
    </w:p>
    <w:p>
      <w:pPr>
        <w:pStyle w:val="ListBullet"/>
        <w:spacing w:after="60"/>
        <w:ind w:left="360"/>
      </w:pPr>
      <w:r>
        <w:t>Transmission issues tied to RECs — worked around by bypassing RECs, which “gave us a bug when creating a site emissions batch and injection batch.”</w:t>
      </w:r>
    </w:p>
    <w:p>
      <w:pPr>
        <w:pStyle w:val="ListBullet"/>
        <w:spacing w:after="60"/>
        <w:ind w:left="360"/>
      </w:pPr>
      <w:r>
        <w:t>Argon electricity did not transmit; electricity did not transmit.</w:t>
      </w:r>
    </w:p>
    <w:p>
      <w:pPr>
        <w:pStyle w:val="ListBullet"/>
        <w:spacing w:after="60"/>
        <w:ind w:left="360"/>
      </w:pPr>
      <w:r>
        <w:t>Duplicate site emissions transmitted (B6 vendor delivery process and embodied emissions duplicated).</w:t>
      </w:r>
    </w:p>
    <w:p>
      <w:pPr>
        <w:pStyle w:val="ListBullet"/>
        <w:spacing w:after="60"/>
        <w:ind w:left="360"/>
      </w:pPr>
      <w:r>
        <w:t>Delivered vs. non-delivered diesel not separated correctly.</w:t>
      </w:r>
    </w:p>
    <w:p>
      <w:pPr>
        <w:pStyle w:val="ListBullet"/>
        <w:spacing w:after="60"/>
        <w:ind w:left="360"/>
      </w:pPr>
      <w:r>
        <w:t>Rail emissions did not transmit.</w:t>
      </w:r>
    </w:p>
    <w:p>
      <w:pPr>
        <w:pStyle w:val="ListBullet"/>
        <w:spacing w:after="60"/>
        <w:ind w:left="360"/>
      </w:pPr>
      <w:r>
        <w:t>AECN→SOPOR emissions did not transmit.</w:t>
      </w:r>
    </w:p>
    <w:p>
      <w:pPr>
        <w:pStyle w:val="ListBullet"/>
        <w:spacing w:after="60"/>
        <w:ind w:left="360"/>
      </w:pPr>
      <w:r>
        <w:t>BCUs not attempted — “because these are still not where we want them to be and transmissions errors, not worth the risk.”</w:t>
      </w:r>
    </w:p>
    <w:p>
      <w:pPr>
        <w:pStyle w:val="ListBullet"/>
        <w:spacing w:after="60"/>
        <w:ind w:left="360"/>
      </w:pPr>
      <w:r>
        <w:t>Error on the QOWV submission (since fixed by Oleh).</w:t>
      </w:r>
    </w:p>
    <w:p>
      <w:pPr>
        <w:spacing w:before="280" w:after="80"/>
      </w:pPr>
      <w:r>
        <w:rPr>
          <w:rFonts w:ascii="Calibri" w:hAnsi="Calibri"/>
          <w:b/>
          <w:color w:val="1F3A5F"/>
          <w:sz w:val="27"/>
        </w:rPr>
        <w:t>2. Continuity and retained knowledge</w:t>
      </w:r>
    </w:p>
    <w:p>
      <w:pPr>
        <w:spacing w:after="160"/>
      </w:pPr>
      <w:r>
        <w:rPr>
          <w:b w:val="0"/>
          <w:color w:val="222222"/>
          <w:sz w:val="22"/>
        </w:rPr>
        <w:t>Aaron's move off the account on July 7 is the most recent in a steady rotation — across the engagement we have worked with Kohzy, Mingyi, Aaron, and Oleh, among others. We understand that turnover is normal at a startup, and this is not about any individual; everyone we have worked with has been generous with their time. The concern is structural. Each time someone rotates off, hard-won context about Charm's models and the specific failure modes we have been chasing risks going with them — and the same issues resurface, as the October-2025-to-June-2026 lifespan of the duplicate-data and BCU problems shows. Precisely because turnover is expected, we need dependable mechanisms to carry that knowledge across the changes, so we are not taking one step forward and two steps back. We would like to understand how Mangrove plans to hold continuity of knowledge on the Charm account.</w:t>
      </w:r>
    </w:p>
    <w:p>
      <w:pPr>
        <w:spacing w:before="280" w:after="80"/>
      </w:pPr>
      <w:r>
        <w:rPr>
          <w:rFonts w:ascii="Calibri" w:hAnsi="Calibri"/>
          <w:b/>
          <w:color w:val="1F3A5F"/>
          <w:sz w:val="27"/>
        </w:rPr>
        <w:t>3. What we need to reach a reliable close</w:t>
      </w:r>
    </w:p>
    <w:p>
      <w:pPr>
        <w:pStyle w:val="ListNumber"/>
        <w:spacing w:after="80"/>
      </w:pPr>
      <w:r>
        <w:t>Root-cause visibility. For each recurring failure class in the table above, a plain explanation of why it recurs, and whether the current state is a durable fix or a workaround.</w:t>
      </w:r>
    </w:p>
    <w:p>
      <w:pPr>
        <w:pStyle w:val="ListNumber"/>
        <w:spacing w:after="80"/>
      </w:pPr>
      <w:r>
        <w:t>A resolution roadmap. The prioritized list of failure classes, each with a named owner and a target fix date, and a commitment to validate each one end to end before the next close rather than during it.</w:t>
      </w:r>
    </w:p>
    <w:p>
      <w:pPr>
        <w:pStyle w:val="ListNumber"/>
        <w:spacing w:after="80"/>
      </w:pPr>
      <w:r>
        <w:t>A shared definition of a smooth submission. What a clean close looks like — every category transmits, the submission returns the expected batch count, and no manual workarounds are required — and a reliability standard we can hold to together.</w:t>
      </w:r>
    </w:p>
    <w:p>
      <w:pPr>
        <w:pStyle w:val="ListNumber"/>
        <w:spacing w:after="80"/>
      </w:pPr>
      <w:r>
        <w:t>A continuity plan. Named, stable points of contact on the Charm account, and an approach to knowledge transfer so team changes don't cost us progress.</w:t>
      </w:r>
    </w:p>
    <w:p>
      <w:pPr>
        <w:pStyle w:val="ListNumber"/>
        <w:spacing w:after="80"/>
      </w:pPr>
      <w:r>
        <w:t>One near-term item. Isometric notified us on July 13 that the Sandbox and Production access keys expire in 29 days. Please confirm the renewal plan now, so it doesn't become the next close-time blocker.</w:t>
      </w:r>
    </w:p>
    <w:p>
      <w:pPr>
        <w:spacing w:before="280" w:after="80"/>
      </w:pPr>
      <w:r>
        <w:rPr>
          <w:rFonts w:ascii="Calibri" w:hAnsi="Calibri"/>
          <w:b/>
          <w:color w:val="1F3A5F"/>
          <w:sz w:val="27"/>
        </w:rPr>
        <w:t>4. Proposed Quarterly Business Review</w:t>
      </w:r>
    </w:p>
    <w:p>
      <w:pPr>
        <w:spacing w:after="160"/>
      </w:pPr>
      <w:r>
        <w:rPr>
          <w:b w:val="0"/>
          <w:color w:val="222222"/>
          <w:sz w:val="22"/>
        </w:rPr>
        <w:t>We propose a standing Quarterly Business Review between Charm and Mangrove leadership, with the first session in the next two to three weeks. Our weekly working call remains the right place for day-to-day issues; the QBR is a leadership-level review of whether the partnership is trending toward a reliable, low-friction reporting process.</w:t>
      </w:r>
    </w:p>
    <w:p>
      <w:pPr>
        <w:spacing w:after="160"/>
      </w:pPr>
      <w:r>
        <w:rPr>
          <w:b w:val="0"/>
          <w:color w:val="222222"/>
          <w:sz w:val="22"/>
        </w:rPr>
        <w:t>Proposed attendees: Mangrove leadership (you, with Oleh and the account leads); from Charm, Max Lavine and Garrett Lutz, with Thomas Leese and Shaune Golemon as needed.</w:t>
      </w:r>
    </w:p>
    <w:p>
      <w:pPr>
        <w:spacing w:after="80"/>
      </w:pPr>
      <w:r>
        <w:rPr>
          <w:b w:val="0"/>
          <w:color w:val="222222"/>
          <w:sz w:val="22"/>
        </w:rPr>
        <w:t>Proposed agenda:</w:t>
      </w:r>
    </w:p>
    <w:tbl>
      <w:tblPr>
        <w:tblStyle w:val="LightGrid-Accent1"/>
        <w:tblW w:type="auto" w:w="0"/>
        <w:tblLook w:firstColumn="1" w:firstRow="1" w:lastColumn="0" w:lastRow="0" w:noHBand="0" w:noVBand="1" w:val="04A0"/>
      </w:tblPr>
      <w:tblGrid>
        <w:gridCol w:w="4320"/>
        <w:gridCol w:w="4320"/>
      </w:tblGrid>
      <w:tr>
        <w:tc>
          <w:tcPr>
            <w:tcW w:type="dxa" w:w="4320"/>
          </w:tcPr>
          <w:p>
            <w:r>
              <w:rPr>
                <w:b/>
                <w:sz w:val="21"/>
              </w:rPr>
              <w:t>Agenda item</w:t>
            </w:r>
          </w:p>
        </w:tc>
        <w:tc>
          <w:tcPr>
            <w:tcW w:type="dxa" w:w="4320"/>
          </w:tcPr>
          <w:p>
            <w:r>
              <w:rPr>
                <w:b/>
                <w:sz w:val="21"/>
              </w:rPr>
              <w:t>Focus</w:t>
            </w:r>
          </w:p>
        </w:tc>
      </w:tr>
      <w:tr>
        <w:tc>
          <w:tcPr>
            <w:tcW w:type="dxa" w:w="4320"/>
          </w:tcPr>
          <w:p>
            <w:r>
              <w:rPr>
                <w:b/>
                <w:sz w:val="21"/>
              </w:rPr>
              <w:t>Reliability review</w:t>
            </w:r>
          </w:p>
        </w:tc>
        <w:tc>
          <w:tcPr>
            <w:tcW w:type="dxa" w:w="4320"/>
          </w:tcPr>
          <w:p>
            <w:r>
              <w:rPr>
                <w:sz w:val="21"/>
              </w:rPr>
              <w:t>The recurrence table above — root causes, and workaround-vs-fix status for each class.</w:t>
            </w:r>
          </w:p>
        </w:tc>
      </w:tr>
      <w:tr>
        <w:tc>
          <w:tcPr>
            <w:tcW w:type="dxa" w:w="4320"/>
          </w:tcPr>
          <w:p>
            <w:r>
              <w:rPr>
                <w:b/>
                <w:sz w:val="21"/>
              </w:rPr>
              <w:t>Resolution roadmap</w:t>
            </w:r>
          </w:p>
        </w:tc>
        <w:tc>
          <w:tcPr>
            <w:tcW w:type="dxa" w:w="4320"/>
          </w:tcPr>
          <w:p>
            <w:r>
              <w:rPr>
                <w:sz w:val="21"/>
              </w:rPr>
              <w:t>Prioritized failure classes with named owners and target dates.</w:t>
            </w:r>
          </w:p>
        </w:tc>
      </w:tr>
      <w:tr>
        <w:tc>
          <w:tcPr>
            <w:tcW w:type="dxa" w:w="4320"/>
          </w:tcPr>
          <w:p>
            <w:r>
              <w:rPr>
                <w:b/>
                <w:sz w:val="21"/>
              </w:rPr>
              <w:t>Definition of a smooth submission</w:t>
            </w:r>
          </w:p>
        </w:tc>
        <w:tc>
          <w:tcPr>
            <w:tcW w:type="dxa" w:w="4320"/>
          </w:tcPr>
          <w:p>
            <w:r>
              <w:rPr>
                <w:sz w:val="21"/>
              </w:rPr>
              <w:t>The reliability standard we hold to, and how we measure it.</w:t>
            </w:r>
          </w:p>
        </w:tc>
      </w:tr>
      <w:tr>
        <w:tc>
          <w:tcPr>
            <w:tcW w:type="dxa" w:w="4320"/>
          </w:tcPr>
          <w:p>
            <w:r>
              <w:rPr>
                <w:b/>
                <w:sz w:val="21"/>
              </w:rPr>
              <w:t>Team continuity</w:t>
            </w:r>
          </w:p>
        </w:tc>
        <w:tc>
          <w:tcPr>
            <w:tcW w:type="dxa" w:w="4320"/>
          </w:tcPr>
          <w:p>
            <w:r>
              <w:rPr>
                <w:sz w:val="21"/>
              </w:rPr>
              <w:t>Staffing and knowledge transfer on the Charm account.</w:t>
            </w:r>
          </w:p>
        </w:tc>
      </w:tr>
      <w:tr>
        <w:tc>
          <w:tcPr>
            <w:tcW w:type="dxa" w:w="4320"/>
          </w:tcPr>
          <w:p>
            <w:r>
              <w:rPr>
                <w:b/>
                <w:sz w:val="21"/>
              </w:rPr>
              <w:t>Forward roadmap</w:t>
            </w:r>
          </w:p>
        </w:tc>
        <w:tc>
          <w:tcPr>
            <w:tcW w:type="dxa" w:w="4320"/>
          </w:tcPr>
          <w:p>
            <w:r>
              <w:rPr>
                <w:sz w:val="21"/>
              </w:rPr>
              <w:t>Alignment of upcoming work (biochar, embodied-emissions ledger, corporate accounting) against reporting-reliability priorities.</w:t>
            </w:r>
          </w:p>
        </w:tc>
      </w:tr>
    </w:tbl>
    <w:p>
      <w:pPr>
        <w:spacing w:after="40"/>
      </w:pPr>
    </w:p>
    <w:p>
      <w:pPr>
        <w:spacing w:before="280" w:after="80"/>
      </w:pPr>
      <w:r>
        <w:rPr>
          <w:rFonts w:ascii="Calibri" w:hAnsi="Calibri"/>
          <w:b/>
          <w:color w:val="1F3A5F"/>
          <w:sz w:val="27"/>
        </w:rPr>
        <w:t>Closing</w:t>
      </w:r>
    </w:p>
    <w:p>
      <w:pPr>
        <w:spacing w:after="160"/>
      </w:pPr>
      <w:r>
        <w:rPr>
          <w:b w:val="0"/>
          <w:color w:val="222222"/>
          <w:sz w:val="22"/>
        </w:rPr>
        <w:t>We value this partnership and want to get to a clean, predictable close with you. Let's lock a first QBR date in the next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