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6"/>
        </w:rPr>
        <w:t>CHARM × MANGROVE</w:t>
      </w:r>
    </w:p>
    <w:p>
      <w:pPr>
        <w:spacing w:after="40"/>
      </w:pPr>
      <w:r>
        <w:rPr>
          <w:b/>
          <w:color w:val="222222"/>
          <w:sz w:val="25"/>
        </w:rPr>
        <w:t>Recurring Reporting-Close Issues — Reference Exhibit</w:t>
      </w:r>
    </w:p>
    <w:p>
      <w:pPr>
        <w:spacing w:after="160"/>
      </w:pPr>
      <w:r>
        <w:rPr>
          <w:color w:val="555555"/>
          <w:sz w:val="21"/>
        </w:rPr>
        <w:t>July 2026</w:t>
      </w:r>
    </w:p>
    <w:p>
      <w:pPr>
        <w:pBdr>
          <w:bottom w:val="single" w:sz="6" w:space="1" w:color="1F3A5F"/>
        </w:pBdr>
        <w:spacing w:after="160"/>
      </w:pPr>
    </w:p>
    <w:p>
      <w:pPr>
        <w:spacing w:after="160"/>
      </w:pPr>
      <w:r>
        <w:rPr>
          <w:b w:val="0"/>
          <w:color w:val="222222"/>
          <w:sz w:val="22"/>
        </w:rPr>
        <w:t>This exhibit maps the failures Charm has hit at reporting-period close against each reporting period. A filled mark (●) means we have a record of the issue in that period; a blank means no record was found — not that the close was clean. The most recent close is the June reporting period, worked into early July. Sources are the #mangrove-charm-poc channel and the Mangrove/Charm meeting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72"/>
            <w:vAlign w:val="center"/>
            <w:shd w:val="clear" w:color="auto" w:fill="1F3A5F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Recurring issue</w:t>
            </w:r>
          </w:p>
        </w:tc>
        <w:tc>
          <w:tcPr>
            <w:tcW w:type="dxa" w:w="93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Oct–Dec '25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Feb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Apr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May</w:t>
            </w:r>
          </w:p>
        </w:tc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Jun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Submission to Isometric fails outright (hard error, zero batches, or timeout)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Emissions categories go missing after transmit (electricity, Argon, rail, AECN→SOPOR, upstream)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Duplicate data transmitted (evidence, components, or batches)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A batch or monthly close cannot be completed (create / complete / allocate)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Unit or emission-factor conversion errors and drift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color w:val="B8B8B8"/>
                <w:sz w:val="18"/>
              </w:rPr>
              <w:t>—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BCU handling breaks (cannot edit, won't transmit, or skipped)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F3A5F"/>
                <w:sz w:val="22"/>
              </w:rPr>
              <w:t>●</w:t>
            </w:r>
          </w:p>
        </w:tc>
      </w:tr>
    </w:tbl>
    <w:p>
      <w:pPr>
        <w:spacing w:after="120"/>
      </w:pPr>
      <w:r>
        <w:rPr>
          <w:b w:val="0"/>
          <w:color w:val="222222"/>
          <w:sz w:val="22"/>
        </w:rPr>
        <w:t>All six failure classes recur. Duplicated data and BCU handling have hit every close on record; three others recur at five of six. Both trace to Charm's first submissions in October 2025 and were still live in the most recent (June) close — roughly nine months without a durable fix.</w:t>
      </w:r>
    </w:p>
    <w:p>
      <w:pPr>
        <w:spacing w:before="160" w:after="60"/>
      </w:pPr>
      <w:r>
        <w:rPr>
          <w:rFonts w:ascii="Calibri" w:hAnsi="Calibri"/>
          <w:b/>
          <w:color w:val="222222"/>
          <w:sz w:val="23"/>
        </w:rPr>
        <w:t>Evidence (from #mangrove-charm-poc and the Mangrove/Charm meeting notes, reviewed July 13)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Submission fails outright: </w:t>
      </w:r>
      <w:r>
        <w:rPr>
          <w:color w:val="555555"/>
          <w:sz w:val="17"/>
        </w:rPr>
        <w:t>Feb — Feb 6: “Got this error when trying to transmit a removal … Time sensitive.” · Mar — Mar 2: “Failed to run on 2-130 … no data found total distance: AECN→SOPOR.” · Apr — Apr 6: “API submission failure. Need this ASAP for March reporting.” · May — May 11: “Got a failure on a transmission … BCU?” · Jun — Jun 29: “no. of batches transmitted: 0” (HTTP 422); Jul 7: “HTTP Response: 503 … connection timeout.”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Categories go missing: </w:t>
      </w:r>
      <w:r>
        <w:rPr>
          <w:color w:val="555555"/>
          <w:sz w:val="17"/>
        </w:rPr>
        <w:t>Mar — Mar 5: “I see electricity in the site emission batch here, but I don't see it in the removal.” · May — May 12: “This transmitted, but the AECN upstream emissions are not here.” · Jun — Jul 8: “Electricity and Argon did not transmit … missing the rail and upstream AECN→SOPOR.”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Duplicate data: </w:t>
      </w:r>
      <w:r>
        <w:rPr>
          <w:color w:val="555555"/>
          <w:sz w:val="17"/>
        </w:rPr>
        <w:t>Oct–Dec '25 — Oct 16 (Kohzy): “not clear … what … is causing us to create duplicate evidence files”; Dec 17 (Aaron): “Previous feedback regarding duplicate evidence files is still relevant, we haven't yet addressed this.” · Feb — Feb 5 (Oleh): “the error was caused by duplicated batches.” · Mar — Mar 5: “duplicate components … coming from diesel delivery transport … the other two are repeats.” · Apr — Apr 24: “a bunch of extra evidences … Ops Notes gets attached for each event to each component.” · May — May 6 (Oleh): “a few duplicated events created … removed them.” · Jun — Jul 8: “the B6 Vendor Delivery Process and EE are duplicated.”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Batch / close cannot complete: </w:t>
      </w:r>
      <w:r>
        <w:rPr>
          <w:color w:val="555555"/>
          <w:sz w:val="17"/>
        </w:rPr>
        <w:t>Feb — Feb 4: “error on the batch generation.” · Mar — Mar 4: “‘Incomplete’ field … won't let me attach these site emissions to a removal.” · Apr — Apr 23: “error when trying to create a removal.” · May — May 8: “Having trouble getting 300098 generated.” · Jun — Jul 6: “Cannot allocate 10% … 92% has already been allocated … mission critical for June RP”; Jul 8: RECs bypass “gave us a bug when creating a site emissions batch and injection batch.”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Unit / EF errors: </w:t>
      </w:r>
      <w:r>
        <w:rPr>
          <w:color w:val="555555"/>
          <w:sz w:val="17"/>
        </w:rPr>
        <w:t>Feb — Feb 26: “EE calculated as tonne-miles*EF … should this be just miles*EF?” · Mar — Mar 17: brine “Gallons vs MT.” · Apr — Apr 9: Kerry EF drift (0.0001384 MT/t·mi vs 84 g/km·t). · May — May 6: propane EF 3.63 vs 3.66 delta. · Jun — Jun 8: brine unit-parser bug (“Can't convert from [gal_us]²·kgCO₂e to tCO₂e”).</w:t>
      </w:r>
    </w:p>
    <w:p>
      <w:pPr>
        <w:spacing w:after="40"/>
        <w:ind w:left="144"/>
      </w:pPr>
      <w:r>
        <w:rPr>
          <w:b/>
          <w:color w:val="222222"/>
          <w:sz w:val="17"/>
        </w:rPr>
        <w:t xml:space="preserve">BCU handling: </w:t>
      </w:r>
      <w:r>
        <w:rPr>
          <w:color w:val="555555"/>
          <w:sz w:val="17"/>
        </w:rPr>
        <w:t>Oct–Dec '25 — Oct 16 (Kohzy): “Ed flagged that BCU certs weren't transmitted.” · Feb — Feb 13: “Our BCU inventory is slightly off … need to reconcile.” · Mar — Mar 3: “1608 is the correct total BCUs but they are replicated … just not input BCU's.” · Apr — Apr 28: “Still doing this manually … editing is locked.” · May — May 27: “Can't edit it after the fact.” · Jun — Jun 29 (Aaron): “BCUs … aren't working properly via API”; post-mortem: BCUs skipped, “not worth the risk.”</w:t>
      </w:r>
    </w:p>
    <w:p>
      <w:pPr>
        <w:spacing w:before="160" w:after="60"/>
      </w:pPr>
      <w:r>
        <w:rPr>
          <w:rFonts w:ascii="Calibri" w:hAnsi="Calibri"/>
          <w:b/>
          <w:color w:val="222222"/>
          <w:sz w:val="23"/>
        </w:rPr>
        <w:t>The most recent close (June reporting period, worked into July), in one sitting</w:t>
      </w:r>
    </w:p>
    <w:p>
      <w:pPr>
        <w:pStyle w:val="ListBullet"/>
        <w:spacing w:after="60"/>
        <w:ind w:left="360"/>
      </w:pPr>
      <w:r>
        <w:t>Transmission issues tied to RECs — worked around by bypassing RECs, which “gave us a bug when creating a site emissions batch and injection batch.”</w:t>
      </w:r>
    </w:p>
    <w:p>
      <w:pPr>
        <w:pStyle w:val="ListBullet"/>
        <w:spacing w:after="60"/>
        <w:ind w:left="360"/>
      </w:pPr>
      <w:r>
        <w:t>Argon electricity did not transmit; electricity did not transmit.</w:t>
      </w:r>
    </w:p>
    <w:p>
      <w:pPr>
        <w:pStyle w:val="ListBullet"/>
        <w:spacing w:after="60"/>
        <w:ind w:left="360"/>
      </w:pPr>
      <w:r>
        <w:t>Duplicate site emissions transmitted (B6 vendor delivery process and embodied emissions duplicated).</w:t>
      </w:r>
    </w:p>
    <w:p>
      <w:pPr>
        <w:pStyle w:val="ListBullet"/>
        <w:spacing w:after="60"/>
        <w:ind w:left="360"/>
      </w:pPr>
      <w:r>
        <w:t>Delivered vs. non-delivered diesel not separated correctly.</w:t>
      </w:r>
    </w:p>
    <w:p>
      <w:pPr>
        <w:pStyle w:val="ListBullet"/>
        <w:spacing w:after="60"/>
        <w:ind w:left="360"/>
      </w:pPr>
      <w:r>
        <w:t>Rail emissions did not transmit.</w:t>
      </w:r>
    </w:p>
    <w:p>
      <w:pPr>
        <w:pStyle w:val="ListBullet"/>
        <w:spacing w:after="60"/>
        <w:ind w:left="360"/>
      </w:pPr>
      <w:r>
        <w:t>AECN→SOPOR emissions did not transmit.</w:t>
      </w:r>
    </w:p>
    <w:p>
      <w:pPr>
        <w:pStyle w:val="ListBullet"/>
        <w:spacing w:after="60"/>
        <w:ind w:left="360"/>
      </w:pPr>
      <w:r>
        <w:t>BCUs not attempted — “because these are still not where we want them to be and transmissions errors, not worth the risk.”</w:t>
      </w:r>
    </w:p>
    <w:p>
      <w:pPr>
        <w:pStyle w:val="ListBullet"/>
        <w:spacing w:after="60"/>
        <w:ind w:left="360"/>
      </w:pPr>
      <w:r>
        <w:t>Error on the QOWV submission (since fixed by Oleh).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