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97D"/>
          <w:sz w:val="32"/>
        </w:rPr>
        <w:t>AI Agent Evaluation Report</w:t>
      </w:r>
    </w:p>
    <w:p>
      <w:pPr>
        <w:spacing w:before="40" w:after="40"/>
      </w:pPr>
      <w:r>
        <w:rPr>
          <w:b/>
          <w:sz w:val="24"/>
        </w:rPr>
        <w:t>Charm Industrial MRV Batch QA Agent</w:t>
      </w:r>
    </w:p>
    <w:p>
      <w:pPr>
        <w:spacing w:after="240"/>
      </w:pPr>
      <w:r>
        <w:rPr>
          <w:i/>
          <w:color w:val="595959"/>
          <w:sz w:val="18"/>
        </w:rPr>
        <w:t>Evaluator: AI Systems Expert  │  Date: May 2026  │  Classification: Internal / Presentation</w:t>
      </w:r>
    </w:p>
    <w:p>
      <w:pPr>
        <w:spacing w:before="280" w:after="80"/>
        <w:pBdr>
          <w:bottom w:val="single" w:sz="4" w:space="1" w:color="1F497D"/>
        </w:pBdr>
      </w:pPr>
      <w:r>
        <w:rPr>
          <w:b/>
          <w:color w:val="1F497D"/>
          <w:sz w:val="22"/>
        </w:rPr>
        <w:t>AGENT OVERVIEW</w:t>
      </w:r>
    </w:p>
    <w:p>
      <w:pPr>
        <w:spacing w:after="80" w:before="0"/>
      </w:pPr>
      <w:r>
        <w:rPr>
          <w:sz w:val="20"/>
        </w:rPr>
        <w:t>The subject is Charm Industrial’s MRV (Measurement, Reporting, Verification) batch QA agent — a production AI agent built on Claude Opus that independently verifies carbon dioxide removal (CDR) injection batches before they reach third-party verification. Each QA session reads 6+ primary source documents (scale tickets, bills of lading, lab results, operations notes, a live tracking spreadsheet, and the Isometric Certify registry), cross-checks mass chains and emission factor arithmetic, builds a structured Excel checklist with cited evidence, runs an adversarial self-review, and delivers findings to the operations team via Slack and Gmail.</w:t>
      </w:r>
    </w:p>
    <w:p>
      <w:pPr>
        <w:spacing w:after="80" w:before="0"/>
      </w:pPr>
      <w:r>
        <w:rPr>
          <w:sz w:val="20"/>
        </w:rPr>
        <w:t>The system is not a single agent but a cluster: three primary QA agents (AECN, Kerry, and Charm-produced oil types), one site-emissions QA agent, and three sub-agents (adversarial reviewer, completion monitor, and performance tracker). All agents share a structured knowledge base, common formatting standards, and a penalty/reward framework that tracks error rates over time.</w:t>
      </w:r>
    </w:p>
    <w:p>
      <w:pPr>
        <w:spacing w:before="280" w:after="80"/>
        <w:pBdr>
          <w:bottom w:val="single" w:sz="4" w:space="1" w:color="1F497D"/>
        </w:pBdr>
      </w:pPr>
      <w:r>
        <w:rPr>
          <w:b/>
          <w:color w:val="1F497D"/>
          <w:sz w:val="22"/>
        </w:rPr>
        <w:t>PERFORMANCE EVALUATION</w:t>
      </w:r>
    </w:p>
    <w:p>
      <w:pPr>
        <w:spacing w:before="200" w:after="40"/>
      </w:pPr>
      <w:r>
        <w:rPr>
          <w:b/>
          <w:color w:val="2E74B5"/>
          <w:sz w:val="20"/>
        </w:rPr>
        <w:t>Accuracy</w:t>
      </w:r>
    </w:p>
    <w:p>
      <w:pPr>
        <w:spacing w:after="80" w:before="0"/>
      </w:pPr>
      <w:r>
        <w:rPr>
          <w:sz w:val="20"/>
        </w:rPr>
        <w:t>The system’s accuracy profile is unusually well-documented. A lessons_learned.md file captures 13 distinct failure categories from real production sessions spanning approximately 40 batches. Each failure category triggered a structural mitigation — not a prompt adjustment, but an enforced code or schema change.</w:t>
      </w:r>
    </w:p>
    <w:p>
      <w:pPr>
        <w:spacing w:after="80" w:before="0"/>
      </w:pPr>
      <w:r>
        <w:rPr>
          <w:sz w:val="20"/>
        </w:rPr>
        <w:t>Examples: a confabulated finding in batch 2-184 (a value invented during adversarial review with no counterpart in the source log) led to a mandatory [log:KEY] citation requirement, enforced by a pre-delivery audit script that rewrites unverified rows before the file is saved. A false 388-kg under-credit finding on the last offload of a railcar (batch 2-185) led to a documented conservatism policy now encoded in both the skill specification and the build-time validation library.</w:t>
      </w:r>
    </w:p>
    <w:p>
      <w:pPr>
        <w:spacing w:after="80" w:before="0"/>
      </w:pPr>
      <w:r>
        <w:rPr>
          <w:sz w:val="20"/>
        </w:rPr>
        <w:t>The current architecture has ceiling-level accuracy protections: every status must cite a source-log key, adversarial review can only challenge logged values (no hypothetical challenges permitted), and a pre-delivery Python script verifies quoted numbers against source-log values before the checklist reaches a human. Each error became a permanent structural constraint rather than a retry instruction.</w:t>
      </w:r>
    </w:p>
    <w:p>
      <w:pPr>
        <w:spacing w:after="80" w:before="0"/>
      </w:pPr>
      <w:r>
        <w:rPr>
          <w:sz w:val="20"/>
        </w:rPr>
        <w:t>Known accuracy risks that remain:</w:t>
      </w:r>
    </w:p>
    <w:p>
      <w:pPr>
        <w:pStyle w:val="ListBullet"/>
        <w:spacing w:after="60"/>
      </w:pPr>
      <w:r>
        <w:rPr>
          <w:b/>
          <w:sz w:val="20"/>
        </w:rPr>
        <w:t xml:space="preserve">(1) </w:t>
      </w:r>
      <w:r>
        <w:rPr>
          <w:sz w:val="20"/>
        </w:rPr>
        <w:t>The LLM still performs the most complex rail-batch mass allocation judgment calls, which are intrinsically difficult.</w:t>
      </w:r>
    </w:p>
    <w:p>
      <w:pPr>
        <w:pStyle w:val="ListBullet"/>
        <w:spacing w:after="60"/>
      </w:pPr>
      <w:r>
        <w:rPr>
          <w:b/>
          <w:sz w:val="20"/>
        </w:rPr>
        <w:t xml:space="preserve">(2) </w:t>
      </w:r>
      <w:r>
        <w:rPr>
          <w:sz w:val="20"/>
        </w:rPr>
        <w:t>Emission factor values in the skill documentation can drift out of sync with the live Standard Emission Factors sheet. The system mitigates this by requiring agents to open the live sheet every session, but this adds latency.</w:t>
      </w:r>
    </w:p>
    <w:p>
      <w:pPr>
        <w:pStyle w:val="ListBullet"/>
        <w:spacing w:after="60"/>
      </w:pPr>
      <w:r>
        <w:rPr>
          <w:b/>
          <w:sz w:val="20"/>
        </w:rPr>
        <w:t xml:space="preserve">(3) </w:t>
      </w:r>
      <w:r>
        <w:rPr>
          <w:sz w:val="20"/>
        </w:rPr>
        <w:t>First-session performance on a new batch type or reporting period is historically lower than on mature batch patterns.</w:t>
      </w:r>
    </w:p>
    <w:p>
      <w:pPr>
        <w:spacing w:before="200" w:after="40"/>
      </w:pPr>
      <w:r>
        <w:rPr>
          <w:b/>
          <w:color w:val="2E74B5"/>
          <w:sz w:val="20"/>
        </w:rPr>
        <w:t>Reliability</w:t>
      </w:r>
    </w:p>
    <w:p>
      <w:pPr>
        <w:spacing w:after="80" w:before="0"/>
      </w:pPr>
      <w:r>
        <w:rPr>
          <w:sz w:val="20"/>
        </w:rPr>
        <w:t>The four-gate sequential workflow (source reads → cross-check + checklist build → adversarial review → finalization) prevents the most common failure mode in agentic QA: writing conclusions before completing evidence collection. Gate violations carry a +5 penalty in the performance tracker; a pre-flight gate blocks every session from starting without reading the failure-category documentation. The system fails loudly by design — if a mandatory verification step is skipped, the adversarial reviewer is designed to catch it before delivery.</w:t>
      </w:r>
    </w:p>
    <w:p>
      <w:pPr>
        <w:spacing w:after="80" w:before="0"/>
      </w:pPr>
      <w:r>
        <w:rPr>
          <w:sz w:val="20"/>
        </w:rPr>
        <w:t>Session length is a structural reliability risk. At 200–500 turns per QA session, context fatigue is documented and expected; the skill specification explicitly instructs the agent to flag degradation rather than push through with sloppy work. The adversarial reviewer provides a second independent check, but it operates within the same context window and cannot catch systematic drift the way a fresh human reviewer would.</w:t>
      </w:r>
    </w:p>
    <w:p>
      <w:pPr>
        <w:spacing w:before="200" w:after="40"/>
      </w:pPr>
      <w:r>
        <w:rPr>
          <w:b/>
          <w:color w:val="2E74B5"/>
          <w:sz w:val="20"/>
        </w:rPr>
        <w:t>Security</w:t>
      </w:r>
    </w:p>
    <w:p>
      <w:pPr>
        <w:spacing w:after="80" w:before="0"/>
      </w:pPr>
      <w:r>
        <w:rPr>
          <w:sz w:val="20"/>
        </w:rPr>
        <w:t>Three concerns at current state:</w:t>
      </w:r>
    </w:p>
    <w:p>
      <w:pPr>
        <w:pStyle w:val="ListBullet"/>
        <w:spacing w:after="60"/>
      </w:pPr>
      <w:r>
        <w:rPr>
          <w:b/>
          <w:sz w:val="20"/>
        </w:rPr>
        <w:t xml:space="preserve">1. </w:t>
      </w:r>
      <w:r>
        <w:rPr>
          <w:sz w:val="20"/>
        </w:rPr>
        <w:t>Google OAuth scopes are broad — the agent has read access to Drive, Gmail, Slack, and Google Calendar workspace-wide. In a regulated environment (CDR credits are financial instruments), this scope should be narrowed to specific shared drives and specific Slack channels.</w:t>
      </w:r>
    </w:p>
    <w:p>
      <w:pPr>
        <w:pStyle w:val="ListBullet"/>
        <w:spacing w:after="60"/>
      </w:pPr>
      <w:r>
        <w:rPr>
          <w:b/>
          <w:sz w:val="20"/>
        </w:rPr>
        <w:t xml:space="preserve">2. </w:t>
      </w:r>
      <w:r>
        <w:rPr>
          <w:sz w:val="20"/>
        </w:rPr>
        <w:t>Batch source-read logs (batch_XXX_source_reads.json) are committed to a shared git repository in plaintext; they contain proprietary mass, emission, and supplier data. These should be encrypted at rest or stored in a secrets-aware backend.</w:t>
      </w:r>
    </w:p>
    <w:p>
      <w:pPr>
        <w:pStyle w:val="ListBullet"/>
        <w:spacing w:after="60"/>
      </w:pPr>
      <w:r>
        <w:rPr>
          <w:b/>
          <w:sz w:val="20"/>
        </w:rPr>
        <w:t xml:space="preserve">3. </w:t>
      </w:r>
      <w:r>
        <w:rPr>
          <w:sz w:val="20"/>
        </w:rPr>
        <w:t>The Playwright browser automation layer that interacts with the Isometric Certify registry (a live financial registry) is controlled by policy and a hook — not by technical read-only API enforcement. A misconfiguration could write to a registry that controls real carbon removal credits.</w:t>
      </w:r>
    </w:p>
    <w:p>
      <w:pPr>
        <w:spacing w:before="280" w:after="80"/>
        <w:pBdr>
          <w:bottom w:val="single" w:sz="4" w:space="1" w:color="1F497D"/>
        </w:pBdr>
      </w:pPr>
      <w:r>
        <w:rPr>
          <w:b/>
          <w:color w:val="1F497D"/>
          <w:sz w:val="22"/>
        </w:rPr>
        <w:t>INPUTS FOR THE BUILDING TEAM</w:t>
      </w:r>
    </w:p>
    <w:p>
      <w:pPr>
        <w:pStyle w:val="ListBullet"/>
        <w:spacing w:after="60"/>
      </w:pPr>
      <w:r>
        <w:rPr>
          <w:b/>
          <w:sz w:val="20"/>
        </w:rPr>
        <w:t xml:space="preserve">Extract the shared spine across batch QA agents. </w:t>
      </w:r>
      <w:r>
        <w:rPr>
          <w:sz w:val="20"/>
        </w:rPr>
        <w:t>The AECN, Kerry, and Charm agents share ~70% of their workflow structure but duplicate it inline. One divergence (the siren-emoji prefix rule for Slack delivery) already drifted out of sync between agents and required a separate fix. A shared common spine would eliminate this drift risk.</w:t>
      </w:r>
    </w:p>
    <w:p>
      <w:pPr>
        <w:pStyle w:val="ListBullet"/>
        <w:spacing w:after="60"/>
      </w:pPr>
      <w:r>
        <w:rPr>
          <w:b/>
          <w:sz w:val="20"/>
        </w:rPr>
        <w:t xml:space="preserve">Expand the deterministic computation layer. </w:t>
      </w:r>
      <w:r>
        <w:rPr>
          <w:sz w:val="20"/>
        </w:rPr>
        <w:t>A pilot script (compute_mass_chain.py) already handles mass-chain arithmetic deterministically for rail batches and has been validated. This pattern — LLM reads documents and populates a structured log; Python script performs all arithmetic — should replace every numeric verification currently done by the LLM. LLMs should not be doing emission factor multiplication; a script should.</w:t>
      </w:r>
    </w:p>
    <w:p>
      <w:pPr>
        <w:pStyle w:val="ListBullet"/>
        <w:spacing w:after="60"/>
      </w:pPr>
      <w:r>
        <w:rPr>
          <w:b/>
          <w:sz w:val="20"/>
        </w:rPr>
        <w:t xml:space="preserve">Cost-tier model selection. </w:t>
      </w:r>
      <w:r>
        <w:rPr>
          <w:sz w:val="20"/>
        </w:rPr>
        <w:t>Opus is appropriate for judgment calls (FAIL vs FLAG classification, evidence synthesis) but is expensive for structured extraction tasks (reading a scale ticket image, finding a value in a spreadsheet row). A Haiku-class model handles extraction; Opus handles synthesis. Splitting turns across model tiers could reduce per-session cost by 40–60% without accuracy loss.</w:t>
      </w:r>
    </w:p>
    <w:p>
      <w:pPr>
        <w:pStyle w:val="ListBullet"/>
        <w:spacing w:after="60"/>
      </w:pPr>
      <w:r>
        <w:rPr>
          <w:b/>
          <w:sz w:val="20"/>
        </w:rPr>
        <w:t xml:space="preserve">Replace Playwright-based Certify reads with API integration. </w:t>
      </w:r>
      <w:r>
        <w:rPr>
          <w:sz w:val="20"/>
        </w:rPr>
        <w:t>Browser automation against a live registry is fragile — DOM changes break selectors, session timeouts add latency, and the read-only guarantee relies on a hook rather than technical enforcement. If Isometric offers an API, that is the right interface; if not, a typed screen-scraping library is more maintainable than raw Playwright.</w:t>
      </w:r>
    </w:p>
    <w:p>
      <w:pPr>
        <w:pStyle w:val="ListBullet"/>
        <w:spacing w:after="60"/>
      </w:pPr>
      <w:r>
        <w:rPr>
          <w:b/>
          <w:sz w:val="20"/>
        </w:rPr>
        <w:t xml:space="preserve">Formalize a regression test suite. </w:t>
      </w:r>
      <w:r>
        <w:rPr>
          <w:sz w:val="20"/>
        </w:rPr>
        <w:t>With 13 documented failure categories and known-good outputs from ~40 batches, the team has the raw material for a regression suite. Every structural mitigation should have a corresponding test that would have caught the original failure. Currently, the only automated check is the pre-delivery audit script, which runs per session, not continuously.</w:t>
      </w:r>
    </w:p>
    <w:p>
      <w:pPr>
        <w:spacing w:before="280" w:after="80"/>
        <w:pBdr>
          <w:bottom w:val="single" w:sz="4" w:space="1" w:color="1F497D"/>
        </w:pBdr>
      </w:pPr>
      <w:r>
        <w:rPr>
          <w:b/>
          <w:color w:val="1F497D"/>
          <w:sz w:val="22"/>
        </w:rPr>
        <w:t>PRICING AND VALUE</w:t>
      </w:r>
    </w:p>
    <w:p>
      <w:pPr>
        <w:spacing w:after="80" w:before="0"/>
      </w:pPr>
      <w:r>
        <w:rPr>
          <w:sz w:val="20"/>
        </w:rPr>
        <w:t>Value case: A human QA specialist performing equivalent work takes 4–8 hours per batch at $75–100/hour — $300–800 per batch. The agent completes a session in 2–4 hours of wall time at a current API cost of approximately $20–35 per session (200–500 turns at Claude Opus pricing, including input context). Net cost reduction: 10–20x per batch, with better auditability (every finding cites a source-log key) and no fatigue-driven quality variance.</w:t>
      </w:r>
    </w:p>
    <w:p>
      <w:pPr>
        <w:spacing w:after="80" w:before="0"/>
      </w:pPr>
      <w:r>
        <w:rPr>
          <w:sz w:val="20"/>
        </w:rPr>
        <w:t>Willingness to pay (SaaS pricing): At $150–250 per batch QA — capturing roughly 30–50 cents of every dollar of value created — this is compelling for any organization with more than 20 injection batches per reporting period. A retainer of $2,500–5,000/month for unlimited batch QA would be competitive against a half-time QA FTE at $60–80K/year.</w:t>
      </w:r>
    </w:p>
    <w:p>
      <w:pPr>
        <w:spacing w:before="280" w:after="80"/>
        <w:pBdr>
          <w:bottom w:val="single" w:sz="4" w:space="1" w:color="1F497D"/>
        </w:pBdr>
      </w:pPr>
      <w:r>
        <w:rPr>
          <w:b/>
          <w:color w:val="1F497D"/>
          <w:sz w:val="22"/>
        </w:rPr>
        <w:t>COST TO SCALE</w:t>
      </w:r>
    </w:p>
    <w:p>
      <w:pPr>
        <w:spacing w:before="200" w:after="40"/>
      </w:pPr>
      <w:r>
        <w:rPr>
          <w:b/>
          <w:color w:val="2E74B5"/>
          <w:sz w:val="20"/>
        </w:rPr>
        <w:t>1,000 Enterprise Users</w:t>
      </w:r>
    </w:p>
    <w:p>
      <w:pPr>
        <w:spacing w:after="80" w:before="0"/>
      </w:pPr>
      <w:r>
        <w:rPr>
          <w:sz w:val="20"/>
        </w:rPr>
        <w:t>Assuming each user represents a carbon removal operator running 10–20 batch QAs per month: 10,000–20,000 sessions/month. At $30/session API cost: $300K–600K/month in API spend. With cost-tier optimization (tiered model selection above), this drops to ~$150–250K/month. Infrastructure (compute, storage, audit logging) adds 20–30%. A SaaS price of $150/session generates $1.5–3M/month revenue — healthy unit economics.</w:t>
      </w:r>
    </w:p>
    <w:p>
      <w:pPr>
        <w:spacing w:before="200" w:after="40"/>
      </w:pPr>
      <w:r>
        <w:rPr>
          <w:b/>
          <w:color w:val="2E74B5"/>
          <w:sz w:val="20"/>
        </w:rPr>
        <w:t>1,000,000 Users</w:t>
      </w:r>
    </w:p>
    <w:p>
      <w:pPr>
        <w:spacing w:after="80" w:before="0"/>
      </w:pPr>
      <w:r>
        <w:rPr>
          <w:sz w:val="20"/>
        </w:rPr>
        <w:t>At current Opus pricing and architecture, 1M active users running 10 sessions/month = $300M/month in API spend. This is not viable without fundamental architecture changes: fine-tuned smaller models for the extraction layer, shared knowledge-base context caching across users, and deterministic arithmetic scripts replacing LLM computation for all numeric verification.</w:t>
      </w:r>
    </w:p>
    <w:p>
      <w:pPr>
        <w:spacing w:after="80" w:before="0"/>
      </w:pPr>
      <w:r>
        <w:rPr>
          <w:sz w:val="20"/>
        </w:rPr>
        <w:t>With those optimizations — realistic target: $3–5/session — API spend becomes $30–50M/month. At a $25/session SaaS price, this is a $250M/month revenue business at breakeven on API cost, with infrastructure and margin on top. Feasible, but requires 18–24 months of architecture work to get there.</w:t>
      </w:r>
    </w:p>
    <w:p>
      <w:pPr>
        <w:spacing w:after="80" w:before="0"/>
      </w:pPr>
      <w:r>
        <w:rPr>
          <w:sz w:val="20"/>
        </w:rPr>
        <w:t>The CDR market itself cannot sustain 1M users of this specific domain agent. The more interesting question is whether the architecture — sequential-gate evidence collection, log-driven adversarial review, structural failure-category enforcement — generalizes to analogous regulated-industry workflows: pharmaceutical batch release, environmental compliance auditing, financial trade verification. In those markets, 1M users is plausible, and the unit economics above apply.</w:t>
      </w:r>
    </w:p>
    <w:p/>
    <w:p>
      <w:pPr>
        <w:spacing w:before="160"/>
      </w:pPr>
      <w:r>
        <w:rPr>
          <w:i/>
          <w:color w:val="595959"/>
          <w:sz w:val="18"/>
        </w:rPr>
        <w:t>All performance observations are grounded in documented system behavior from production sessions, not estimated or generalized from industry benchmarks.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