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497D"/>
          <w:sz w:val="30"/>
        </w:rPr>
        <w:t>AI Agent Evaluation Report</w:t>
      </w:r>
    </w:p>
    <w:p>
      <w:pPr>
        <w:spacing w:after="20"/>
      </w:pPr>
      <w:r>
        <w:rPr>
          <w:sz w:val="22"/>
        </w:rPr>
        <w:t>Charm Industrial — MRV Batch QA Agent</w:t>
      </w:r>
    </w:p>
    <w:p>
      <w:pPr>
        <w:spacing w:after="160"/>
      </w:pPr>
      <w:r>
        <w:rPr>
          <w:i/>
          <w:color w:val="595959"/>
          <w:sz w:val="18"/>
        </w:rPr>
        <w:t>Evaluator: AI Systems Expert  │  May 2026  │  Internal / Presentation</w:t>
      </w:r>
    </w:p>
    <w:p>
      <w:pPr>
        <w:spacing w:before="180" w:after="40"/>
        <w:pBdr>
          <w:bottom w:val="single" w:sz="4" w:space="1" w:color="1F497D"/>
        </w:pBdr>
      </w:pPr>
      <w:r>
        <w:rPr>
          <w:b/>
          <w:color w:val="1F497D"/>
          <w:sz w:val="20"/>
        </w:rPr>
        <w:t>BACKGROUND</w:t>
      </w:r>
    </w:p>
    <w:p>
      <w:pPr>
        <w:spacing w:before="0" w:after="80"/>
      </w:pPr>
      <w:r>
        <w:rPr>
          <w:sz w:val="20"/>
        </w:rPr>
        <w:t>Charm Industrial converts agricultural waste into bio-oil via pyrolysis, then injects it into deep underground rock formations for permanent CO₂ storage. The output is a carbon removal credit — a financial instrument sold to corporations for verified climate impact and independently audited by third-party verifiers before issuance. The numbers must be right: an error that reaches the auditor risks a formal finding, delays credit issuance, or misstates the volume of carbon removed.</w:t>
      </w:r>
    </w:p>
    <w:p>
      <w:pPr>
        <w:spacing w:before="0" w:after="80"/>
      </w:pPr>
      <w:r>
        <w:rPr>
          <w:sz w:val="20"/>
        </w:rPr>
        <w:t>Verifying a single injection batch means reconciling data across 6+ primary sources: certified weigh tickets, supplier bills of lading, lab carbon-content analysis, operations notes, a live shipment tracker, and the Isometric Certify registry (which holds the final credit calculation). A human analyst doing this manually takes 30–60 minutes, cross-referencing 2–4 sources per line across a ~57-item checklist. Under time pressure, some items get spot-checked rather than fully verified.</w:t>
      </w:r>
    </w:p>
    <w:p>
      <w:pPr>
        <w:spacing w:before="180" w:after="40"/>
        <w:pBdr>
          <w:bottom w:val="single" w:sz="4" w:space="1" w:color="1F497D"/>
        </w:pBdr>
      </w:pPr>
      <w:r>
        <w:rPr>
          <w:b/>
          <w:color w:val="1F497D"/>
          <w:sz w:val="20"/>
        </w:rPr>
        <w:t>AGENT ARCHITECTURE</w:t>
      </w:r>
    </w:p>
    <w:p>
      <w:pPr>
        <w:spacing w:before="0" w:after="80"/>
      </w:pPr>
      <w:r>
        <w:rPr>
          <w:sz w:val="20"/>
        </w:rPr>
        <w:t>The MRV Batch QA Agent is a Claude Opus-based AI agent that opens every source document, extracts values into a structured log, and builds a fully-cited QA checklist. It runs a four-gate sequential workflow — source reads → checklist build → adversarial self-review → delivery audit — where each gate has hard entry and exit conditions. Every checklist status cites a specific key in the source-read log; a pre-delivery audit script verifies every quoted number against that log before the checklist reaches the human reviewer. A performance tracker logs each session: turn count, duration, corrections required, and whether the batch was approved clean on first pass.</w:t>
      </w:r>
    </w:p>
    <w:p>
      <w:pPr>
        <w:spacing w:before="180" w:after="40"/>
        <w:pBdr>
          <w:bottom w:val="single" w:sz="4" w:space="1" w:color="1F497D"/>
        </w:pBdr>
      </w:pPr>
      <w:r>
        <w:rPr>
          <w:b/>
          <w:color w:val="1F497D"/>
          <w:sz w:val="20"/>
        </w:rPr>
        <w:t>PERFORMANCE</w:t>
      </w:r>
    </w:p>
    <w:p>
      <w:pPr>
        <w:spacing w:before="120" w:after="20"/>
      </w:pPr>
      <w:r>
        <w:rPr>
          <w:b/>
          <w:color w:val="2E74B5"/>
          <w:sz w:val="20"/>
        </w:rPr>
        <w:t>Accuracy</w:t>
      </w:r>
    </w:p>
    <w:p>
      <w:pPr>
        <w:spacing w:before="0" w:after="80"/>
      </w:pPr>
      <w:r>
        <w:rPr>
          <w:sz w:val="20"/>
        </w:rPr>
        <w:t>3 batch QAs have formal completion records in the performance tracker. 2 of 3 (67%) were approved clean on first pass — zero corrections, zero violations, 57 items fully verified. The third (batch 2-184) required 5 correction iterations and incurred 9 laziness-violation penalties. Both clean batches completed in under 55 minutes of agent active time, with the adversarial reviewer issuing zero challenges. 13 failure categories are documented with the batch where the error first occurred and the structural fix applied — each error class encoded as a hard constraint, not a prompt instruction.</w:t>
      </w:r>
    </w:p>
    <w:p>
      <w:pPr>
        <w:spacing w:before="120" w:after="20"/>
      </w:pPr>
      <w:r>
        <w:rPr>
          <w:b/>
          <w:color w:val="2E74B5"/>
          <w:sz w:val="20"/>
        </w:rPr>
        <w:t>Cost per Session — Actual</w:t>
      </w:r>
    </w:p>
    <w:p>
      <w:pPr>
        <w:spacing w:before="0" w:after="80"/>
      </w:pPr>
      <w:r>
        <w:rPr>
          <w:sz w:val="20"/>
        </w:rPr>
        <w:t>Session cost is dominated by Anthropic's prompt caching layer. The agent reads large documents each session and accumulates a growing conversation history; by mid-session the model re-reads 100K–350K cached tokens per turn at $1.50/M, with cache writes adding $30–96/session at $30/M. Across 10 logged sessions the average is $194 and the median $180. Most sessions land in the $145–205 range; two outliers (a major-error recovery session and a three-sub-session QA) reach $243 and $376 respectively. No downward learning trend is detectable (R² = 0.002) — cost is driven by batch complexity and whether errors occur, not by accumulated familiarity. Full breakdown with live formulas in the supporting Excel.</w:t>
      </w:r>
    </w:p>
    <w:p>
      <w:pPr>
        <w:spacing w:before="120" w:after="20"/>
      </w:pPr>
      <w:r>
        <w:rPr>
          <w:b/>
          <w:color w:val="2E74B5"/>
          <w:sz w:val="20"/>
        </w:rPr>
        <w:t>Reliability</w:t>
      </w:r>
    </w:p>
    <w:p>
      <w:pPr>
        <w:spacing w:before="0" w:after="80"/>
      </w:pPr>
      <w:r>
        <w:rPr>
          <w:sz w:val="20"/>
        </w:rPr>
        <w:t>The four-gate structure prevents the most common agentic QA failure: writing conclusions before reading evidence. The pre-flight requirement to print all applicable failure categories to chat before Gate 1 makes session preparation visible — if the list doesn't appear, the session is blocked. Context fatigue at 400+ turns is a documented risk; the agent is instructed to flag degradation rather than produce degraded work silently.</w:t>
      </w:r>
    </w:p>
    <w:p>
      <w:pPr>
        <w:spacing w:before="120" w:after="20"/>
      </w:pPr>
      <w:r>
        <w:rPr>
          <w:b/>
          <w:color w:val="2E74B5"/>
          <w:sz w:val="20"/>
        </w:rPr>
        <w:t>Security</w:t>
      </w:r>
    </w:p>
    <w:p>
      <w:pPr>
        <w:pStyle w:val="ListBullet"/>
        <w:spacing w:after="40"/>
      </w:pPr>
      <w:r>
        <w:rPr>
          <w:b/>
          <w:sz w:val="20"/>
        </w:rPr>
        <w:t xml:space="preserve">Credential scope. </w:t>
      </w:r>
      <w:r>
        <w:rPr>
          <w:sz w:val="20"/>
        </w:rPr>
        <w:t>Agent has workspace-wide OAuth read access to Drive, Gmail, Slack, and Calendar. Should be scoped to specific shared drives and QA channels.</w:t>
      </w:r>
    </w:p>
    <w:p>
      <w:pPr>
        <w:pStyle w:val="ListBullet"/>
        <w:spacing w:after="40"/>
      </w:pPr>
      <w:r>
        <w:rPr>
          <w:b/>
          <w:sz w:val="20"/>
        </w:rPr>
        <w:t xml:space="preserve">Data exposure. </w:t>
      </w:r>
      <w:r>
        <w:rPr>
          <w:sz w:val="20"/>
        </w:rPr>
        <w:t>Source-read logs (batch_XXX_source_reads.json) containing supplier mass and emissions data are committed to a shared git repo in plaintext. Encrypt at rest.</w:t>
      </w:r>
    </w:p>
    <w:p>
      <w:pPr>
        <w:pStyle w:val="ListBullet"/>
        <w:spacing w:after="40"/>
      </w:pPr>
      <w:r>
        <w:rPr>
          <w:b/>
          <w:sz w:val="20"/>
        </w:rPr>
        <w:t xml:space="preserve">Registry write risk. </w:t>
      </w:r>
      <w:r>
        <w:rPr>
          <w:sz w:val="20"/>
        </w:rPr>
        <w:t>Playwright interaction with the live Isometric Certify credit registry is governed by policy and a hook — not technical write-prevention. A read-only API or typed scraping library removes the risk entirely.</w:t>
      </w:r>
    </w:p>
    <w:p>
      <w:pPr>
        <w:spacing w:before="180" w:after="40"/>
        <w:pBdr>
          <w:bottom w:val="single" w:sz="4" w:space="1" w:color="1F497D"/>
        </w:pBdr>
      </w:pPr>
      <w:r>
        <w:rPr>
          <w:b/>
          <w:color w:val="1F497D"/>
          <w:sz w:val="20"/>
        </w:rPr>
        <w:t>RECOMMENDATIONS</w:t>
      </w:r>
    </w:p>
    <w:p>
      <w:pPr>
        <w:pStyle w:val="ListBullet"/>
        <w:spacing w:after="40"/>
      </w:pPr>
      <w:r>
        <w:rPr>
          <w:b/>
          <w:sz w:val="20"/>
        </w:rPr>
        <w:t xml:space="preserve">Extract the shared skill spine. </w:t>
      </w:r>
      <w:r>
        <w:rPr>
          <w:sz w:val="20"/>
        </w:rPr>
        <w:t>AECN, Kerry, and Charm batch QA agents duplicate ~70% of their structure. One formatting rule already drifted out of sync before being caught. Shared scaffold eliminates drift.</w:t>
      </w:r>
    </w:p>
    <w:p>
      <w:pPr>
        <w:pStyle w:val="ListBullet"/>
        <w:spacing w:after="40"/>
      </w:pPr>
      <w:r>
        <w:rPr>
          <w:b/>
          <w:sz w:val="20"/>
        </w:rPr>
        <w:t xml:space="preserve">Expand deterministic computation. </w:t>
      </w:r>
      <w:r>
        <w:rPr>
          <w:sz w:val="20"/>
        </w:rPr>
        <w:t>A pilot script already handles mass-chain arithmetic for rail batches. Extend this pattern to all numeric checks — the LLM reads and logs; Python verifies. Cuts both errors and session length.</w:t>
      </w:r>
    </w:p>
    <w:p>
      <w:pPr>
        <w:pStyle w:val="ListBullet"/>
        <w:spacing w:after="40"/>
      </w:pPr>
      <w:r>
        <w:rPr>
          <w:b/>
          <w:sz w:val="20"/>
        </w:rPr>
        <w:t xml:space="preserve">Tier model selection. </w:t>
      </w:r>
      <w:r>
        <w:rPr>
          <w:sz w:val="20"/>
        </w:rPr>
        <w:t>Opus is right for judgment calls (FAIL vs FLAG, multi-source conflict). Haiku-class handles extraction (reading a cell, parsing a PDF field). Estimated 40–60% cost reduction with no quality loss on judgment items.</w:t>
      </w:r>
    </w:p>
    <w:p>
      <w:pPr>
        <w:pStyle w:val="ListBullet"/>
        <w:spacing w:after="40"/>
      </w:pPr>
      <w:r>
        <w:rPr>
          <w:b/>
          <w:sz w:val="20"/>
        </w:rPr>
        <w:t xml:space="preserve">Replace Playwright on the Certify registry. </w:t>
      </w:r>
      <w:r>
        <w:rPr>
          <w:sz w:val="20"/>
        </w:rPr>
        <w:t>Browser automation is fragile and the only thing preventing writes is a hook. A read-only API client is the correct interface.</w:t>
      </w:r>
    </w:p>
    <w:p>
      <w:pPr>
        <w:pStyle w:val="ListBullet"/>
        <w:spacing w:after="40"/>
      </w:pPr>
      <w:r>
        <w:rPr>
          <w:b/>
          <w:sz w:val="20"/>
        </w:rPr>
        <w:t xml:space="preserve">Build a regression suite. </w:t>
      </w:r>
      <w:r>
        <w:rPr>
          <w:sz w:val="20"/>
        </w:rPr>
        <w:t>13 documented failure categories + 7 sessions of known-good output = a ready-made test corpus. No automated testing exists today outside the per-session audit script.</w:t>
      </w:r>
    </w:p>
    <w:p>
      <w:pPr>
        <w:spacing w:before="180" w:after="40"/>
        <w:pBdr>
          <w:bottom w:val="single" w:sz="4" w:space="1" w:color="1F497D"/>
        </w:pBdr>
      </w:pPr>
      <w:r>
        <w:rPr>
          <w:b/>
          <w:color w:val="1F497D"/>
          <w:sz w:val="20"/>
        </w:rPr>
        <w:t>VALUE AND PRICING</w:t>
      </w:r>
    </w:p>
    <w:p>
      <w:pPr>
        <w:spacing w:before="0" w:after="80"/>
      </w:pPr>
      <w:r>
        <w:rPr>
          <w:sz w:val="20"/>
        </w:rPr>
        <w:t>A human analyst takes 30–60 min at $75–100/hr loaded = $37–100/batch. The agent's median cost of ~$196 is higher, but the comparison is not equivalent: a human in that time is spot-checking; the agent opens every primary source for all 57 items and produces a fully-cited, audit-ready deliverable. The senior analyst receives a finished product to approve, not a task to perform.</w:t>
      </w:r>
    </w:p>
    <w:p>
      <w:pPr>
        <w:spacing w:before="0" w:after="80"/>
      </w:pPr>
      <w:r>
        <w:rPr>
          <w:sz w:val="20"/>
        </w:rPr>
        <w:t>SaaS pricing: $250–400/session — above current API cost, below the cost of equivalent manual thoroughness. For operators running 20+ batches per reporting period, a $3,000–6,000/month retainer competes favorably against manual review cost and inconsistency risk.</w:t>
      </w:r>
    </w:p>
    <w:p>
      <w:pPr>
        <w:spacing w:before="180" w:after="40"/>
        <w:pBdr>
          <w:bottom w:val="single" w:sz="4" w:space="1" w:color="1F497D"/>
        </w:pBdr>
      </w:pPr>
      <w:r>
        <w:rPr>
          <w:b/>
          <w:color w:val="1F497D"/>
          <w:sz w:val="20"/>
        </w:rPr>
        <w:t>COST TO SCALE</w:t>
      </w:r>
    </w:p>
    <w:p>
      <w:pPr>
        <w:spacing w:before="120" w:after="20"/>
      </w:pPr>
      <w:r>
        <w:rPr>
          <w:b/>
          <w:color w:val="2E74B5"/>
          <w:sz w:val="20"/>
        </w:rPr>
        <w:t>1,000 Enterprise Users</w:t>
      </w:r>
    </w:p>
    <w:p>
      <w:pPr>
        <w:spacing w:before="0" w:after="80"/>
      </w:pPr>
      <w:r>
        <w:rPr>
          <w:sz w:val="20"/>
        </w:rPr>
        <w:t>At 15 sessions/user/month: 15,000 sessions × $196 = $2.94M/month API cost. Model tiering (recommendation 3) reduces this to ~$1.8M/month. At $350/session SaaS price: $5.25M/month revenue, ~$3.45M contribution after API cost. See supporting Excel for sensitivity analysis.</w:t>
      </w:r>
    </w:p>
    <w:p>
      <w:pPr>
        <w:spacing w:before="120" w:after="20"/>
      </w:pPr>
      <w:r>
        <w:rPr>
          <w:b/>
          <w:color w:val="2E74B5"/>
          <w:sz w:val="20"/>
        </w:rPr>
        <w:t>1,000,000 Users — Optimization Path and TAM</w:t>
      </w:r>
    </w:p>
    <w:p>
      <w:pPr>
        <w:spacing w:before="0" w:after="80"/>
      </w:pPr>
      <w:r>
        <w:rPr>
          <w:sz w:val="20"/>
        </w:rPr>
        <w:t>At current architecture: 1M × 15 sessions × $196 = $2.94B/month. Not viable. Three levers bring cost to $4–8/session: (1) fine-tuned Haiku-class model for extraction turns ($1.25/M output vs $75/M, ~60× cheaper on ~60% of turns); (2) context compression between gates, cutting cache-read volume by ~65% and saving $42–145/session; (3) deterministic arithmetic scripts removing ~40 reasoning-heavy turns per session. Combined, achievable in 18–24 months at production scale.</w:t>
      </w:r>
    </w:p>
    <w:p>
      <w:pPr>
        <w:spacing w:before="0" w:after="80"/>
      </w:pPr>
      <w:r>
        <w:rPr>
          <w:sz w:val="20"/>
        </w:rPr>
        <w:t>The CDR market cannot support 1M users. The broader opportunity is sustainability claim verification — any regulated performance claim requiring a multi-source evidence chain audited by a third party. Key segments and estimated addressable entities:</w:t>
      </w:r>
    </w:p>
    <w:p>
      <w:pPr>
        <w:pStyle w:val="ListBullet"/>
        <w:spacing w:after="40"/>
      </w:pPr>
      <w:r>
        <w:rPr>
          <w:b/>
          <w:sz w:val="20"/>
        </w:rPr>
        <w:t xml:space="preserve">EU CSRD </w:t>
      </w:r>
      <w:r>
        <w:rPr>
          <w:sz w:val="20"/>
        </w:rPr>
        <w:t>~50,000 large companies required to report annually by 2025–2026, expanding to hundreds of thousands of SMEs.</w:t>
      </w:r>
    </w:p>
    <w:p>
      <w:pPr>
        <w:pStyle w:val="ListBullet"/>
        <w:spacing w:after="40"/>
      </w:pPr>
      <w:r>
        <w:rPr>
          <w:b/>
          <w:sz w:val="20"/>
        </w:rPr>
        <w:t xml:space="preserve">US IRA clean energy credits (45Q/45V/45Z) </w:t>
      </w:r>
      <w:r>
        <w:rPr>
          <w:sz w:val="20"/>
        </w:rPr>
        <w:t>~8,000 eligible facilities with annual verified GHG accounting requirements.</w:t>
      </w:r>
    </w:p>
    <w:p>
      <w:pPr>
        <w:pStyle w:val="ListBullet"/>
        <w:spacing w:after="40"/>
      </w:pPr>
      <w:r>
        <w:rPr>
          <w:b/>
          <w:sz w:val="20"/>
        </w:rPr>
        <w:t xml:space="preserve">Voluntary Carbon Market </w:t>
      </w:r>
      <w:r>
        <w:rPr>
          <w:sz w:val="20"/>
        </w:rPr>
        <w:t>~10,000 registered projects (VERRA, Gold Standard) each requiring annual third-party verification.</w:t>
      </w:r>
    </w:p>
    <w:p>
      <w:pPr>
        <w:pStyle w:val="ListBullet"/>
        <w:spacing w:after="40"/>
      </w:pPr>
      <w:r>
        <w:rPr>
          <w:b/>
          <w:sz w:val="20"/>
        </w:rPr>
        <w:t xml:space="preserve">Compliance carbon and fuel markets </w:t>
      </w:r>
      <w:r>
        <w:rPr>
          <w:sz w:val="20"/>
        </w:rPr>
        <w:t>EU ETS, CA-ETS, RGGI, US RFS/RINs, CA LCFS: ~30,000+ regulated installations and pathway certificates.</w:t>
      </w:r>
    </w:p>
    <w:p>
      <w:pPr>
        <w:pStyle w:val="ListBullet"/>
        <w:spacing w:after="40"/>
      </w:pPr>
      <w:r>
        <w:rPr>
          <w:b/>
          <w:sz w:val="20"/>
        </w:rPr>
        <w:t xml:space="preserve">RECs, SAF credits, BCUs, EACs </w:t>
      </w:r>
      <w:r>
        <w:rPr>
          <w:sz w:val="20"/>
        </w:rPr>
        <w:t>~15,000 certificate generators requiring mass-balance and provenance evidence chains.</w:t>
      </w:r>
    </w:p>
    <w:p>
      <w:pPr>
        <w:spacing w:before="0" w:after="80"/>
      </w:pPr>
      <w:r>
        <w:rPr>
          <w:sz w:val="20"/>
        </w:rPr>
        <w:t>Total addressable entities: ~100,000–200,000 by 2028. At 10 sessions/entity/month: 1M–2M sessions/month — the 1M-user scenario is achievable within sustainability verification alone. At $25/session (optimized SaaS) and $6/session API cost: ~76% gross margin. Full TAM model with live formulas in the supporting Excel.</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