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57"/>
          <w:sz w:val="32"/>
        </w:rPr>
        <w:t>Basco 6 EW — Bio-oil / Formation Brine Density-Contrast Analysis</w:t>
      </w:r>
    </w:p>
    <w:p>
      <w:r>
        <w:rPr>
          <w:i/>
          <w:sz w:val="22"/>
        </w:rPr>
        <w:t>QOWV bio-oil batch (AECN7-2026-W1 / QOWV 7-2026-W2) — Summary for Expert Review</w:t>
      </w:r>
    </w:p>
    <w:p>
      <w:r>
        <w:rPr>
          <w:color w:val="666666"/>
          <w:sz w:val="18"/>
        </w:rPr>
        <w:t>Prepared 2026-07-14 · Charm Industrial MRV · Status: DRAFT for technical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EF3F8"/>
          </w:tcPr>
          <w:p>
            <w:r>
              <w:rPr>
                <w:b/>
                <w:sz w:val="19"/>
              </w:rPr>
              <w:t xml:space="preserve">Units &amp; conversions.  </w:t>
            </w:r>
            <w:r>
              <w:rPr>
                <w:sz w:val="19"/>
              </w:rPr>
              <w:t xml:space="preserve">g/mL = g/cm³ = kg/L are identical; lab values are reported in g/cm³. In this report, kg/m³ = g/cm³ × 1000 (SI, used for the correction math) and lb/gal = g/cm³ × 8.345 (oilfield unit, used to compare against the permit’s ppg-based inputs — 9.0 ppg pore pressure, 10 lb/gal design density). </w:t>
            </w:r>
            <w:r>
              <w:rPr>
                <w:i/>
                <w:sz w:val="19"/>
              </w:rPr>
              <w:t>The 9.0 ppg pore pressure is a pressure gradient expressed as equivalent mud weight, not a fluid density (brine density = 1.01 g/cm³).</w:t>
            </w:r>
          </w:p>
        </w:tc>
      </w:tr>
    </w:tbl>
    <w:p/>
    <w:p>
      <w:pPr>
        <w:spacing w:before="200" w:after="60"/>
      </w:pPr>
      <w:r>
        <w:rPr>
          <w:b/>
          <w:color w:val="1F3B57"/>
          <w:sz w:val="26"/>
        </w:rPr>
        <w:t>1. Question and governing requirement</w:t>
      </w:r>
    </w:p>
    <w:p>
      <w:pPr>
        <w:spacing w:after="60"/>
      </w:pPr>
      <w:r>
        <w:t>Does the QOWV bio-oil batch satisfy the density-contrast (buoyant-stability) requirement — is it denser than the Basco 6 formation brine at reservoir conditions, so that it sinks and remains immobile after injection?</w:t>
      </w:r>
    </w:p>
    <w:p>
      <w:pPr>
        <w:spacing w:after="60"/>
      </w:pPr>
      <w:r>
        <w:t>Isometric "Bio-oil Storage in Permeable Reservoirs" module, verbatim:</w:t>
      </w:r>
    </w:p>
    <w:p>
      <w:pPr>
        <w:ind w:left="432"/>
      </w:pPr>
      <w:r>
        <w:rPr>
          <w:i/>
        </w:rPr>
        <w:t>"Density in particular must be greater than that of the formation water."</w:t>
      </w:r>
    </w:p>
    <w:p>
      <w:pPr>
        <w:ind w:left="432"/>
      </w:pPr>
      <w:r>
        <w:rPr>
          <w:i/>
        </w:rPr>
        <w:t>"ρbio-oil &gt; ρformationfluid where ρ is density at reservoir conditions calculated ρ=m/V ... according to reservoir-specific conditions, such as pressure, temperature and salinity."</w:t>
      </w:r>
    </w:p>
    <w:p>
      <w:pPr>
        <w:spacing w:after="60"/>
      </w:pPr>
      <w:r>
        <w:t>The comparison is required at reservoir conditions, not surface. Both densities are measured at surface and corrected downhole.</w:t>
      </w:r>
    </w:p>
    <w:p>
      <w:pPr>
        <w:spacing w:before="200" w:after="60"/>
      </w:pPr>
      <w:r>
        <w:rPr>
          <w:b/>
          <w:color w:val="1F3B57"/>
          <w:sz w:val="26"/>
        </w:rPr>
        <w:t>2.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fill="D6E4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160"/>
            <w:shd w:val="clear" w:fill="D6E4F0"/>
          </w:tcPr>
          <w:p>
            <w:r/>
            <w:r>
              <w:rPr>
                <w:b/>
                <w:sz w:val="18"/>
              </w:rPr>
              <w:t>QOWV bio-oil</w:t>
            </w:r>
          </w:p>
        </w:tc>
        <w:tc>
          <w:tcPr>
            <w:tcW w:type="dxa" w:w="2160"/>
            <w:shd w:val="clear" w:fill="D6E4F0"/>
          </w:tcPr>
          <w:p>
            <w:r/>
            <w:r>
              <w:rPr>
                <w:b/>
                <w:sz w:val="18"/>
              </w:rPr>
              <w:t>Formation brine</w:t>
            </w:r>
          </w:p>
        </w:tc>
        <w:tc>
          <w:tcPr>
            <w:tcW w:type="dxa" w:w="2016"/>
            <w:shd w:val="clear" w:fill="D6E4F0"/>
          </w:tcPr>
          <w:p>
            <w:r/>
            <w:r>
              <w:rPr>
                <w:b/>
                <w:sz w:val="18"/>
              </w:rPr>
              <w:t>Contrast</w:t>
            </w:r>
          </w:p>
        </w:tc>
        <w:tc>
          <w:tcPr>
            <w:tcW w:type="dxa" w:w="1296"/>
            <w:shd w:val="clear" w:fill="D6E4F0"/>
          </w:tcPr>
          <w:p>
            <w:r/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Surface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1050 kg/m³ (1.050)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1010 kg/m³ (1.010)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+40 kg/m³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denser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Reservoir (~114°F, ~1,640 psi)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1033 kg/m³ (1.033)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1004 kg/m³ (1.004)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+29 kg/m³ (+0.029)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SINKS</w:t>
            </w:r>
          </w:p>
        </w:tc>
      </w:tr>
    </w:tbl>
    <w:p>
      <w:pPr>
        <w:spacing w:after="60"/>
      </w:pPr>
      <w:r>
        <w:t>Conclusion: QOWV remains denser than the brine at reservoir conditions and will sink. Margin ≈ +29 kg/m³ (≈ +0.24 lb/gal) — thin but positive and structurally robust (§7).</w:t>
      </w:r>
    </w:p>
    <w:p>
      <w:pPr>
        <w:spacing w:before="200" w:after="60"/>
      </w:pPr>
      <w:r>
        <w:rPr>
          <w:b/>
          <w:color w:val="1F3B57"/>
          <w:sz w:val="26"/>
        </w:rPr>
        <w:t>3. Minimum acceptable surface density</w:t>
      </w:r>
    </w:p>
    <w:p>
      <w:pPr>
        <w:spacing w:after="60"/>
      </w:pPr>
      <w:r>
        <w:t>Because bio-oil expands more than brine downhole, it must exceed the brine density at surface by a margin to still exceed it at reservoir conditions. Setting bio-oil reservoir density equal to brine reservoir density and solving for surface density gives the binding floor: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D6E4F0"/>
          </w:tcPr>
          <w:p>
            <w:r/>
            <w:r>
              <w:rPr>
                <w:b/>
                <w:sz w:val="18"/>
              </w:rPr>
              <w:t>Basis</w:t>
            </w:r>
          </w:p>
        </w:tc>
        <w:tc>
          <w:tcPr>
            <w:tcW w:type="dxa" w:w="3024"/>
            <w:shd w:val="clear" w:fill="D6E4F0"/>
          </w:tcPr>
          <w:p>
            <w:r/>
            <w:r>
              <w:rPr>
                <w:b/>
                <w:sz w:val="18"/>
              </w:rPr>
              <w:t>Minimum surface density</w:t>
            </w:r>
          </w:p>
        </w:tc>
        <w:tc>
          <w:tcPr>
            <w:tcW w:type="dxa" w:w="4032"/>
            <w:shd w:val="clear" w:fill="D6E4F0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Naive (beat brine at surface)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1.010 g/mL (8.43 lb/gal)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Insufficient — ignores differential thermal expansion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Reservoir-corrected (binding)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1.021 g/mL (8.52 lb/gal)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Required so bio-oil ≥ brine at reservoir conditions</w:t>
            </w:r>
          </w:p>
        </w:tc>
      </w:tr>
    </w:tbl>
    <w:p>
      <w:pPr>
        <w:spacing w:after="60"/>
      </w:pPr>
      <w:r>
        <w:t>QOWV surface density 1.050 g/mL (8.76 lb/gal) clears the binding floor of 1.021 g/mL by ≈ 0.029 g/mL. The floor scales with assumed reservoir temperature and bio-oil thermal expansion.</w:t>
      </w:r>
    </w:p>
    <w:p>
      <w:pPr>
        <w:spacing w:before="200" w:after="60"/>
      </w:pPr>
      <w:r>
        <w:rPr>
          <w:b/>
          <w:color w:val="1F3B57"/>
          <w:sz w:val="26"/>
        </w:rPr>
        <w:t>4. Sources (measured / documented inputs — click to open)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fill="D6E4F0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944"/>
            <w:shd w:val="clear" w:fill="D6E4F0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3384"/>
            <w:shd w:val="clear" w:fill="D6E4F0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  <w:shd w:val="clear" w:fill="D6E4F0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864"/>
            <w:shd w:val="clear" w:fill="D6E4F0"/>
          </w:tcPr>
          <w:p>
            <w:r/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Formation brine density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1.01 g/mL (Sp. Gr., ASTM D-1298-85)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Waypoint Report 24-200-0020, Lab 98021, sampled 7/17/2024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Measured (verified vs. rendered PDF)</w:t>
            </w:r>
          </w:p>
        </w:tc>
        <w:tc>
          <w:tcPr>
            <w:tcW w:type="dxa" w:w="864"/>
          </w:tcPr>
          <w:p>
            <w:r/>
            <w:hyperlink r:id="rId9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Brine composition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TDS 23,300; Cl 24,200; Na 12,600 mg/L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same report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Measured</w:t>
            </w:r>
          </w:p>
        </w:tc>
        <w:tc>
          <w:tcPr>
            <w:tcW w:type="dxa" w:w="864"/>
          </w:tcPr>
          <w:p>
            <w:r/>
            <w:hyperlink r:id="rId9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QOWV bio-oil density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1.050 g/cm³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Garrett Lutz, Slack 2026-07-13; COA AECN7-2026-W1 / QOWV 7-2026-W2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Stated on COA (not independently re-read)</w:t>
            </w:r>
          </w:p>
        </w:tc>
        <w:tc>
          <w:tcPr>
            <w:tcW w:type="dxa" w:w="864"/>
          </w:tcPr>
          <w:p>
            <w:r/>
            <w:hyperlink r:id="rId10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Formation pore pressure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9.0 ppg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LDENR Order No. IMD 2025-05 EW, p.4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Documented (regulatory)</w:t>
            </w:r>
          </w:p>
        </w:tc>
        <w:tc>
          <w:tcPr>
            <w:tcW w:type="dxa" w:w="864"/>
          </w:tcPr>
          <w:p>
            <w:r/>
            <w:hyperlink r:id="rId11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Injection interval (perfs)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3,492–3,534 ft KB (mid ≈ 3,513)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UIC-25 form (in packet); GEC schematic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Measured</w:t>
            </w:r>
          </w:p>
        </w:tc>
        <w:tc>
          <w:tcPr>
            <w:tcW w:type="dxa" w:w="864"/>
          </w:tcPr>
          <w:p>
            <w:r/>
            <w:hyperlink r:id="rId12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Base of USDW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1,170 ft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UIC-25; Order Finding 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Documented</w:t>
            </w:r>
          </w:p>
        </w:tc>
        <w:tc>
          <w:tcPr>
            <w:tcW w:type="dxa" w:w="864"/>
          </w:tcPr>
          <w:p>
            <w:r/>
            <w:hyperlink r:id="rId12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Reservoir temperature (raw)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Max. Rec. Temp 125°F @ 4,438 ft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Schlumberger openhole log, offset producer Basco 6 #1 (Serial 220147), Run 1 dated 5-16-97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Measured (log header)</w:t>
            </w:r>
          </w:p>
        </w:tc>
        <w:tc>
          <w:tcPr>
            <w:tcW w:type="dxa" w:w="864"/>
          </w:tcPr>
          <w:p>
            <w:r/>
            <w:hyperlink r:id="rId13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MASIP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455 psig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Order p.4; UIC-25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Documented</w:t>
            </w:r>
          </w:p>
        </w:tc>
        <w:tc>
          <w:tcPr>
            <w:tcW w:type="dxa" w:w="864"/>
          </w:tcPr>
          <w:p>
            <w:r/>
            <w:hyperlink r:id="rId11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Well schematic / perfs (fig.)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Perfs, casing, packer</w:t>
            </w:r>
          </w:p>
        </w:tc>
        <w:tc>
          <w:tcPr>
            <w:tcW w:type="dxa" w:w="3384"/>
          </w:tcPr>
          <w:p>
            <w:r/>
            <w:r>
              <w:rPr>
                <w:sz w:val="18"/>
              </w:rPr>
              <w:t>CHARM INDUSTRIAL FIGURES.pdf (GEC, Fig. 5A–7)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Documented</w:t>
            </w:r>
          </w:p>
        </w:tc>
        <w:tc>
          <w:tcPr>
            <w:tcW w:type="dxa" w:w="864"/>
          </w:tcPr>
          <w:p>
            <w:r/>
            <w:hyperlink r:id="rId14">
              <w:r>
                <w:rPr>
                  <w:color w:val="0563C1"/>
                  <w:u w:val="single"/>
                  <w:sz w:val="19"/>
                </w:rPr>
                <w:t>Open</w:t>
              </w:r>
            </w:hyperlink>
          </w:p>
        </w:tc>
      </w:tr>
    </w:tbl>
    <w:p>
      <w:pPr>
        <w:spacing w:before="200" w:after="60"/>
      </w:pPr>
      <w:r>
        <w:rPr>
          <w:b/>
          <w:color w:val="1F3B57"/>
          <w:sz w:val="26"/>
        </w:rPr>
        <w:t>5.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  <w:shd w:val="clear" w:fill="D6E4F0"/>
          </w:tcPr>
          <w:p>
            <w:r/>
            <w:r>
              <w:rPr>
                <w:b/>
                <w:sz w:val="18"/>
              </w:rPr>
              <w:t>Value used</w:t>
            </w:r>
          </w:p>
        </w:tc>
        <w:tc>
          <w:tcPr>
            <w:tcW w:type="dxa" w:w="5040"/>
            <w:shd w:val="clear" w:fill="D6E4F0"/>
          </w:tcPr>
          <w:p>
            <w:r/>
            <w:r>
              <w:rPr>
                <w:b/>
                <w:sz w:val="18"/>
              </w:rPr>
              <w:t>Basis / flag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Surface temperature (gradient anchor)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≈70°F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ASSUMPTION — Louisiana mean-annual air temperature. NOT from a project document; used only to convert the measured 125°F @ 4,438 ft into a gradient.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Reservoir temperature at 3,513 ft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≈114°F (46°C)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DERIVED — measured 125°F @ 4,438 ft (offset log, see §4) with the ~70°F surface → 1.25°F/100 ft, extrapolated up to 3,513 ft. Max-recorded temp reads slightly low vs. true static (conservative).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Reservoir pressure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≈1,640 psi (11.3 MPa)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9.0 ppg pore pressure × 3,513 ft (0.468 psi/ft), documented basis. Consistent with PDD "normally pressured or below."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Brine surface ref. temp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60°F (15.6°C)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ASTM D-1298 convention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Bio-oil COA ref. temp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15°C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ASSUMPTION — COA reference temperature not 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Brine thermal expansion β_b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3.5×10⁻⁴ /°C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Literature, saline water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Brine compressibility c_b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4.4×10⁻¹⁰ /Pa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Literature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Bio-oil thermal expansion β_o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7×10⁻⁴ /°C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Literature, fast-pyrolysis bio-oil — DOMINANT uncertainty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Bio-oil compressibility c_o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5×10⁻¹⁰ /Pa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Literature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Correction model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ρ_res = ρ_surf(1 − βΔT + cΔP)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First-order; adequate for small ΔT (≈30°C), ΔP (≈11 MPa)</w:t>
            </w:r>
          </w:p>
        </w:tc>
      </w:tr>
    </w:tbl>
    <w:p>
      <w:pPr>
        <w:spacing w:before="200" w:after="60"/>
      </w:pPr>
      <w:r>
        <w:rPr>
          <w:b/>
          <w:color w:val="1F3B57"/>
          <w:sz w:val="26"/>
        </w:rPr>
        <w:t>6. Calculation</w:t>
      </w:r>
    </w:p>
    <w:p>
      <w:pPr>
        <w:spacing w:after="60"/>
      </w:pPr>
      <w:r>
        <w:t>Brine:   1010 × (1 − 3.5e-4×30.4 + 4.4e-10×1.13e+07) = 1010 × 0.99433 = 1004.3 kg/m³</w:t>
      </w:r>
    </w:p>
    <w:p>
      <w:pPr>
        <w:spacing w:after="60"/>
      </w:pPr>
      <w:r>
        <w:t>Bio-oil: 1050 × (1 − 7.0e-4×31 + 5.0e-10×1.13e+07) = 1050 × 0.98395 = 1033.1 kg/m³</w:t>
      </w:r>
    </w:p>
    <w:p>
      <w:pPr>
        <w:spacing w:after="60"/>
      </w:pPr>
      <w:r>
        <w:t>Reservoir contrast = 1033.1 − 1004.3 = +28.9 kg/m³ (+0.029 g/mL). Positive → sinks.</w:t>
      </w:r>
    </w:p>
    <w:p>
      <w:pPr>
        <w:spacing w:after="60"/>
      </w:pPr>
      <w:r>
        <w:t>Minimum surface density = brine reservoir density / bio-oil correction factor = 1004.3 / 0.98395 = 1020.7 kg/m³ = 1.021 g/mL.</w:t>
      </w:r>
    </w:p>
    <w:p>
      <w:pPr>
        <w:spacing w:before="200" w:after="60"/>
      </w:pPr>
      <w:r>
        <w:rPr>
          <w:b/>
          <w:color w:val="1F3B57"/>
          <w:sz w:val="26"/>
        </w:rPr>
        <w:t>7. Sensitivity and robustness</w:t>
      </w:r>
    </w:p>
    <w:p>
      <w:pPr>
        <w:pStyle w:val="ListBullet"/>
        <w:spacing w:after="60"/>
      </w:pPr>
      <w:r>
        <w:t>Crossover: holding pressure and coefficients, contrast reaches zero only at a reservoir temperature of ≈248°F (≈120°C) — far above the ≈114°F injection zone. "Sinks" is robust despite the small absolute contrast.</w:t>
      </w:r>
    </w:p>
    <w:p>
      <w:pPr>
        <w:pStyle w:val="ListBullet"/>
        <w:spacing w:after="60"/>
      </w:pPr>
      <w:r>
        <w:t>Pressure is a minor lever: it raises both densities nearly equally, so a better pressure input barely moved the contrast.</w:t>
      </w:r>
    </w:p>
    <w:p>
      <w:pPr>
        <w:pStyle w:val="ListBullet"/>
        <w:spacing w:after="60"/>
      </w:pPr>
      <w:r>
        <w:t>Dominant uncertainty is the bio-oil thermal-expansion coefficient; a higher value narrows the margin and raises the §3 floor.</w:t>
      </w:r>
    </w:p>
    <w:p>
      <w:pPr>
        <w:spacing w:before="200" w:after="60"/>
      </w:pPr>
      <w:r>
        <w:rPr>
          <w:b/>
          <w:color w:val="1F3B57"/>
          <w:sz w:val="26"/>
        </w:rPr>
        <w:t>8. Residual gaps / recommendations</w:t>
      </w:r>
    </w:p>
    <w:p>
      <w:pPr>
        <w:pStyle w:val="ListBullet"/>
        <w:spacing w:after="60"/>
      </w:pPr>
      <w:r>
        <w:t>Reservoir temperature is anchored to an offset-well log plus a ~70°F surface assumption, not a static bottomhole survey on Basco 6. The permit lists "Static reservoir pressure and temperature" as a baseline item; a Basco 6 static temperature would firm the ≈114°F figure and remove the surface assumption.</w:t>
      </w:r>
    </w:p>
    <w:p>
      <w:pPr>
        <w:pStyle w:val="ListBullet"/>
        <w:spacing w:after="60"/>
      </w:pPr>
      <w:r>
        <w:t>The bio-oil thermal-expansion coefficient is a literature value. A measured QOWV density at reservoir temperature (or an EOS run) would close the last assumption.</w:t>
      </w:r>
    </w:p>
    <w:p>
      <w:pPr>
        <w:pStyle w:val="ListBullet"/>
        <w:spacing w:after="60"/>
      </w:pPr>
      <w:r>
        <w:t>QOWV density (1.050) is stated from the COA via Slack; confirm against the COA of record before use in a verifier submission.</w:t>
      </w:r>
    </w:p>
    <w:p>
      <w:pPr>
        <w:pStyle w:val="ListBullet"/>
        <w:spacing w:after="60"/>
      </w:pPr>
      <w:r>
        <w:t>Context: permit application design basis characterized bio-oil at ≈10 lb/gal (≈1.198 g/mL); QOWV at 1.050 (8.76 lb/gal) is a notably lighter batch, which is why it sits near the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93vgnGNkDwxYCzYKt8_lM6Y25iKc-kZv/view" TargetMode="External"/><Relationship Id="rId10" Type="http://schemas.openxmlformats.org/officeDocument/2006/relationships/hyperlink" Target="https://charmindustrial.slack.com/archives/C07AK8ESJ4T/p1783974013736729" TargetMode="External"/><Relationship Id="rId11" Type="http://schemas.openxmlformats.org/officeDocument/2006/relationships/hyperlink" Target="https://drive.google.com/file/d/1Z0ODyQmytSMk2xTWmYc_lmG88ES9LVtI/view" TargetMode="External"/><Relationship Id="rId12" Type="http://schemas.openxmlformats.org/officeDocument/2006/relationships/hyperlink" Target="https://drive.google.com/file/d/1aQKNXhFOjXThTmhpzBlBXHhutJHc2CtP/view" TargetMode="External"/><Relationship Id="rId13" Type="http://schemas.openxmlformats.org/officeDocument/2006/relationships/hyperlink" Target="https://drive.google.com/file/d/11kUVWxy9sNtLqfETmag2Yo5mQy8Y_bvj/view" TargetMode="External"/><Relationship Id="rId14" Type="http://schemas.openxmlformats.org/officeDocument/2006/relationships/hyperlink" Target="https://drive.google.com/file/d/14rUjBq3yT1piDLsMTxlMggqCkLqKadlJ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