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0"/>
        </w:rPr>
        <w:t>Biochar N₂O Suppression as a Scope 3 Revenue Path</w:t>
      </w:r>
    </w:p>
    <w:p>
      <w:pPr>
        <w:spacing w:after="160"/>
      </w:pPr>
      <w:r>
        <w:rPr>
          <w:i/>
          <w:color w:val="555555"/>
          <w:sz w:val="20"/>
        </w:rPr>
        <w:t>Internal MRV memo · Charm Industrial · 2026-05-06 · Max Lavine</w:t>
      </w:r>
    </w:p>
    <w:p>
      <w:pPr>
        <w:spacing w:before="160" w:after="40"/>
      </w:pPr>
      <w:r>
        <w:rPr>
          <w:b/>
          <w:sz w:val="23"/>
        </w:rPr>
        <w:t>Bottom line</w:t>
      </w:r>
    </w:p>
    <w:p>
      <w:pPr>
        <w:spacing w:after="80"/>
      </w:pPr>
      <w:r>
        <w:t>No biochar protocol credits soil N₂O suppression today, and none of the dedicated N₂O methodologies accept biochar as the intervention. The realistic near-term revenue path is Scope 3 / insetting: we sell biochar to a row-crop offtaker, quantify N₂O suppression on their grower network, and let them claim it on their inventory — no transferable credit, no new methodology to write. The buyers are already wired up and writing checks for soil-based reductions through Indigo, Truterra, Bayer, Cargill RegenConnect, ADM Re:generations, and Land O'Lakes Truterra. We just need to walk in with a biochar-flavored MRV package.</w:t>
      </w:r>
    </w:p>
    <w:p>
      <w:pPr>
        <w:spacing w:before="160" w:after="40"/>
      </w:pPr>
      <w:r>
        <w:rPr>
          <w:b/>
          <w:sz w:val="23"/>
        </w:rPr>
        <w:t>Why no protocol credits biochar-N₂O today</w:t>
      </w:r>
    </w:p>
    <w:p>
      <w:pPr>
        <w:spacing w:after="80"/>
      </w:pPr>
      <w:r>
        <w:t>Every biochar standard explicitly carves N₂O out of the project boundary. This is intentional, not an oversight.</w:t>
      </w:r>
    </w:p>
    <w:p>
      <w:pPr>
        <w:pStyle w:val="ListBullet"/>
        <w:spacing w:after="40"/>
        <w:ind w:left="360"/>
      </w:pPr>
      <w:r>
        <w:rPr>
          <w:b/>
        </w:rPr>
        <w:t>Verra VM0044 v1.2</w:t>
      </w:r>
      <w:r>
        <w:t xml:space="preserve"> excludes N₂O from combustion, decomposition, and transport accounting in the boundary diagram.</w:t>
      </w:r>
    </w:p>
    <w:p>
      <w:pPr>
        <w:pStyle w:val="ListBullet"/>
        <w:spacing w:after="40"/>
        <w:ind w:left="360"/>
      </w:pPr>
      <w:r>
        <w:rPr>
          <w:b/>
        </w:rPr>
        <w:t>CAR U.S. &amp; Canada Biochar Protocol (March 2024)</w:t>
      </w:r>
      <w:r>
        <w:t xml:space="preserve"> credits durable carbon only; treats N₂O as a co-benefit narrative.</w:t>
      </w:r>
    </w:p>
    <w:p>
      <w:pPr>
        <w:pStyle w:val="ListBullet"/>
        <w:spacing w:after="40"/>
        <w:ind w:left="360"/>
      </w:pPr>
      <w:r>
        <w:rPr>
          <w:b/>
        </w:rPr>
        <w:t>Isometric Biochar Production &amp; Storage</w:t>
      </w:r>
      <w:r>
        <w:t xml:space="preserve"> — same.</w:t>
      </w:r>
    </w:p>
    <w:p>
      <w:pPr>
        <w:pStyle w:val="ListBullet"/>
        <w:spacing w:after="40"/>
        <w:ind w:left="360"/>
      </w:pPr>
      <w:r>
        <w:rPr>
          <w:b/>
        </w:rPr>
        <w:t>Puro.earth</w:t>
      </w:r>
      <w:r>
        <w:t xml:space="preserve"> (2025 ed.) — same.</w:t>
      </w:r>
    </w:p>
    <w:p>
      <w:pPr>
        <w:pStyle w:val="ListBullet"/>
        <w:spacing w:after="40"/>
        <w:ind w:left="360"/>
      </w:pPr>
      <w:r>
        <w:rPr>
          <w:b/>
        </w:rPr>
        <w:t>EBC C-Sink</w:t>
      </w:r>
      <w:r>
        <w:t xml:space="preserve"> — same.</w:t>
      </w:r>
    </w:p>
    <w:p>
      <w:pPr>
        <w:spacing w:after="80"/>
      </w:pPr>
      <w:r>
        <w:t>The reason is variance. Meta-analyses center on roughly 30 percent N₂O suppression in upland/dry soils, but in flooded rice paddies biochar has been shown to increase N₂O 5–14× at high application rates. Spread by soil, climate, feedstock, pyrolysis temperature, and biochar age is too wide for a defensible per-tonne factor. Methodology developers chose conservatism over a fight with verifiers.</w:t>
      </w:r>
    </w:p>
    <w:p>
      <w:pPr>
        <w:spacing w:before="160" w:after="40"/>
      </w:pPr>
      <w:r>
        <w:rPr>
          <w:b/>
          <w:sz w:val="23"/>
        </w:rPr>
        <w:t>Dedicated N₂O protocols exist — but not for biochar</w:t>
      </w:r>
    </w:p>
    <w:p>
      <w:pPr>
        <w:pStyle w:val="ListBullet"/>
        <w:spacing w:after="40"/>
        <w:ind w:left="360"/>
      </w:pPr>
      <w:r>
        <w:rPr>
          <w:b/>
        </w:rPr>
        <w:t>Verra VM0022</w:t>
      </w:r>
      <w:r>
        <w:t xml:space="preserve"> — N rate reduction in agricultural crops.</w:t>
      </w:r>
    </w:p>
    <w:p>
      <w:pPr>
        <w:pStyle w:val="ListBullet"/>
        <w:spacing w:after="40"/>
        <w:ind w:left="360"/>
      </w:pPr>
      <w:r>
        <w:rPr>
          <w:b/>
        </w:rPr>
        <w:t>CAR Nitrogen Management Protocol v2.1</w:t>
      </w:r>
      <w:r>
        <w:t xml:space="preserve"> — corn, 12 Midwest states, DNDC-based.</w:t>
      </w:r>
    </w:p>
    <w:p>
      <w:pPr>
        <w:pStyle w:val="ListBullet"/>
        <w:spacing w:after="40"/>
        <w:ind w:left="360"/>
      </w:pPr>
      <w:r>
        <w:rPr>
          <w:b/>
        </w:rPr>
        <w:t>ACR Methodology for N₂O Emissions Reductions from Changes in Fertilizer Management</w:t>
      </w:r>
      <w:r>
        <w:t xml:space="preserve"> — DNDC-based, active.</w:t>
      </w:r>
    </w:p>
    <w:p>
      <w:pPr>
        <w:pStyle w:val="ListBullet"/>
        <w:spacing w:after="40"/>
        <w:ind w:left="360"/>
      </w:pPr>
      <w:r>
        <w:rPr>
          <w:b/>
        </w:rPr>
        <w:t>Gold Standard Enhanced Efficiency Fertilizer methodology</w:t>
      </w:r>
      <w:r>
        <w:t xml:space="preserve"> — in development.</w:t>
      </w:r>
    </w:p>
    <w:p>
      <w:pPr>
        <w:spacing w:after="80"/>
      </w:pPr>
      <w:r>
        <w:t>All of these key on N application rate, timing, or inhibitors. None accept biochar as the intervention. Stacking one onto a farm that also receives our biochar is mechanically possible but messy: attribution between the fertilizer change and the biochar amendment is not handled by either methodology.</w:t>
      </w:r>
    </w:p>
    <w:p>
      <w:pPr>
        <w:spacing w:before="160" w:after="40"/>
      </w:pPr>
      <w:r>
        <w:rPr>
          <w:b/>
          <w:sz w:val="23"/>
        </w:rPr>
        <w:t>The Scope 3 / insetting path</w:t>
      </w:r>
    </w:p>
    <w:p>
      <w:pPr>
        <w:spacing w:after="80"/>
      </w:pPr>
      <w:r>
        <w:t>Under SBTi FLAG and the GHG Protocol Land Sector &amp; Removals Guidance, food and ag companies can claim soil-based N₂O reductions and removals on Scope 3 (Category 1: Purchased Goods and Services) when the intervention occurs in their supply shed and is MRV'd to a defensible standard. They do not need a third-party credit. They need a reduction they can defend to SBTi, CDP, and their consumer-facing climate claims.</w:t>
      </w:r>
    </w:p>
    <w:p>
      <w:pPr>
        <w:spacing w:after="80"/>
      </w:pPr>
      <w:r>
        <w:t>Companies already buying soil N₂O / soil-carbon claims through grower programs:</w:t>
      </w:r>
    </w:p>
    <w:p>
      <w:pPr>
        <w:pStyle w:val="ListBullet"/>
        <w:spacing w:after="40"/>
        <w:ind w:left="360"/>
      </w:pPr>
      <w:r>
        <w:rPr>
          <w:b/>
        </w:rPr>
        <w:t>Indigo Carbon</w:t>
      </w:r>
      <w:r>
        <w:t xml:space="preserve"> — vertically integrated, row-crop focus, sells reductions and removals to corporates.</w:t>
      </w:r>
    </w:p>
    <w:p>
      <w:pPr>
        <w:pStyle w:val="ListBullet"/>
        <w:spacing w:after="40"/>
        <w:ind w:left="360"/>
      </w:pPr>
      <w:r>
        <w:rPr>
          <w:b/>
        </w:rPr>
        <w:t>Truterra</w:t>
      </w:r>
      <w:r>
        <w:t xml:space="preserve"> (Land O'Lakes) — co-op-driven, regenerative practice payments.</w:t>
      </w:r>
    </w:p>
    <w:p>
      <w:pPr>
        <w:pStyle w:val="ListBullet"/>
        <w:spacing w:after="40"/>
        <w:ind w:left="360"/>
      </w:pPr>
      <w:r>
        <w:rPr>
          <w:b/>
        </w:rPr>
        <w:t>Bayer Carbon</w:t>
      </w:r>
      <w:r>
        <w:t xml:space="preserve"> (Bayer) — N rate reduction, cover crops, no-till.</w:t>
      </w:r>
    </w:p>
    <w:p>
      <w:pPr>
        <w:pStyle w:val="ListBullet"/>
        <w:spacing w:after="40"/>
        <w:ind w:left="360"/>
      </w:pPr>
      <w:r>
        <w:rPr>
          <w:b/>
        </w:rPr>
        <w:t>Cargill RegenConnect</w:t>
      </w:r>
      <w:r>
        <w:t xml:space="preserve"> — payments for regen practices, claim retention by Cargill.</w:t>
      </w:r>
    </w:p>
    <w:p>
      <w:pPr>
        <w:pStyle w:val="ListBullet"/>
        <w:spacing w:after="40"/>
        <w:ind w:left="360"/>
      </w:pPr>
      <w:r>
        <w:rPr>
          <w:b/>
        </w:rPr>
        <w:t>ADM Re:generations</w:t>
      </w:r>
      <w:r>
        <w:t xml:space="preserve"> — supply-chain Scope 3 for ADM's own customers.</w:t>
      </w:r>
    </w:p>
    <w:p>
      <w:pPr>
        <w:spacing w:after="80"/>
      </w:pPr>
      <w:r>
        <w:t>Each of these programs already pays for soil practice change. None of them currently include biochar. That is a wedge.</w:t>
      </w:r>
    </w:p>
    <w:p>
      <w:pPr>
        <w:spacing w:before="160" w:after="40"/>
      </w:pPr>
      <w:r>
        <w:rPr>
          <w:b/>
          <w:sz w:val="23"/>
        </w:rPr>
        <w:t>What we would need to stand this up</w:t>
      </w:r>
    </w:p>
    <w:p>
      <w:pPr>
        <w:pStyle w:val="ListBullet"/>
        <w:spacing w:after="40"/>
        <w:ind w:left="360"/>
      </w:pPr>
      <w:r>
        <w:rPr>
          <w:b/>
        </w:rPr>
        <w:t>Offtaker conversation</w:t>
      </w:r>
      <w:r>
        <w:t xml:space="preserve"> with one of the grower programs above. Easiest entry: Indigo (vertically integrated MRV, will move fastest) or Truterra (Land O'Lakes co-op reach).</w:t>
      </w:r>
    </w:p>
    <w:p>
      <w:pPr>
        <w:pStyle w:val="ListBullet"/>
        <w:spacing w:after="40"/>
        <w:ind w:left="360"/>
      </w:pPr>
      <w:r>
        <w:rPr>
          <w:b/>
        </w:rPr>
        <w:t>A defensible per-acre N₂O suppression factor</w:t>
      </w:r>
      <w:r>
        <w:t xml:space="preserve"> tied to a specific soil/climate envelope. Upland row-crop only. Rice paddies excluded explicitly. Feedstock and pyrolysis temperature bounded to match the suppression literature.</w:t>
      </w:r>
    </w:p>
    <w:p>
      <w:pPr>
        <w:pStyle w:val="ListBullet"/>
        <w:spacing w:after="40"/>
        <w:ind w:left="360"/>
      </w:pPr>
      <w:r>
        <w:rPr>
          <w:b/>
        </w:rPr>
        <w:t>An MRV package</w:t>
      </w:r>
      <w:r>
        <w:t xml:space="preserve"> that fits the offtaker's existing program. DNDC is already accepted by ACR and CAR for N₂O quant; we adapt rather than invent. Where DNDC has not been parameterized for biochar, we either (a) use a conservative literature-based factor with field validation, or (b) sponsor a small validation study.</w:t>
      </w:r>
    </w:p>
    <w:p>
      <w:pPr>
        <w:pStyle w:val="ListBullet"/>
        <w:spacing w:after="40"/>
        <w:ind w:left="360"/>
      </w:pPr>
      <w:r>
        <w:rPr>
          <w:b/>
        </w:rPr>
        <w:t>SBTi FLAG / GHG Protocol</w:t>
      </w:r>
      <w:r>
        <w:t xml:space="preserve"> alignment. Either the offtaker uses the SBTi FLAG framework or they do not. If yes, our biochar reduction can be claimed against their FLAG target. If no, the reduction sits in their broader Scope 3 inventory.</w:t>
      </w:r>
    </w:p>
    <w:p>
      <w:pPr>
        <w:pStyle w:val="ListBullet"/>
        <w:spacing w:after="40"/>
        <w:ind w:left="360"/>
      </w:pPr>
      <w:r>
        <w:rPr>
          <w:b/>
        </w:rPr>
        <w:t>Clean attribution rules separating</w:t>
      </w:r>
      <w:r>
        <w:t xml:space="preserve"> the durable carbon credit (Isometric BCU) and the N₂O reduction. The carbon credit goes to the carbon buyer; the N₂O reduction goes to the row-crop offtaker on their Scope 3. No double count if we are explicit about which gas, which scope, and which claimant.</w:t>
      </w:r>
    </w:p>
    <w:p>
      <w:pPr>
        <w:spacing w:before="160" w:after="40"/>
      </w:pPr>
      <w:r>
        <w:rPr>
          <w:b/>
          <w:sz w:val="23"/>
        </w:rPr>
        <w:t>Risks / open questions</w:t>
      </w:r>
    </w:p>
    <w:p>
      <w:pPr>
        <w:pStyle w:val="ListBullet"/>
        <w:spacing w:after="40"/>
        <w:ind w:left="360"/>
      </w:pPr>
      <w:r>
        <w:rPr>
          <w:b/>
        </w:rPr>
        <w:t>VVB acceptance.</w:t>
      </w:r>
      <w:r>
        <w:t xml:space="preserve"> Verifiers in the SBTi FLAG world are different from Isometric. We need to identify which VVBs are credible to ag-Scope-3 buyers and pre-engage one. SustainCERT is the most likely default.</w:t>
      </w:r>
    </w:p>
    <w:p>
      <w:pPr>
        <w:pStyle w:val="ListBullet"/>
        <w:spacing w:after="40"/>
        <w:ind w:left="360"/>
      </w:pPr>
      <w:r>
        <w:rPr>
          <w:b/>
        </w:rPr>
        <w:t>Double-claim exposure.</w:t>
      </w:r>
      <w:r>
        <w:t xml:space="preserve"> The carbon buyer paid for biochar going into soil. The Scope 3 buyer pays for N₂O suppression on the soil receiving that biochar. Both are real, but we need to write the offtake terms so the BCU buyer cannot also claim the N₂O reduction. This is solvable; it needs lawyer time.</w:t>
      </w:r>
    </w:p>
    <w:p>
      <w:pPr>
        <w:pStyle w:val="ListBullet"/>
        <w:spacing w:after="40"/>
        <w:ind w:left="360"/>
      </w:pPr>
      <w:r>
        <w:rPr>
          <w:b/>
        </w:rPr>
        <w:t>Persistence.</w:t>
      </w:r>
      <w:r>
        <w:t xml:space="preserve"> Biochar's N₂O suppression weakens over a few years in some studies and strengthens in others. The offtaker will want a defensible duration. Our position should be one growing season per application, with re-application required for continued claim.</w:t>
      </w:r>
    </w:p>
    <w:p>
      <w:pPr>
        <w:pStyle w:val="ListBullet"/>
        <w:spacing w:after="40"/>
        <w:ind w:left="360"/>
      </w:pPr>
      <w:r>
        <w:rPr>
          <w:b/>
        </w:rPr>
        <w:t>Measurement cost.</w:t>
      </w:r>
      <w:r>
        <w:t xml:space="preserve"> If we go this path the field measurement burden is non-trivial. Without paying for static-chamber or eddy-covariance data on at least a sample of treated acres the factor will be challenged.</w:t>
      </w:r>
    </w:p>
    <w:p>
      <w:pPr>
        <w:spacing w:before="160" w:after="40"/>
      </w:pPr>
      <w:r>
        <w:rPr>
          <w:b/>
          <w:sz w:val="23"/>
        </w:rPr>
        <w:t>Recommendation</w:t>
      </w:r>
    </w:p>
    <w:p>
      <w:pPr>
        <w:spacing w:after="80"/>
      </w:pPr>
      <w:r>
        <w:t>Pick one offtaker and run a paid pilot. Indigo Carbon is the lowest-friction first call — they already have the MRV infrastructure, the grower network, and the corporate buyer relationships. Pitch is: we deliver biochar into your existing carbon program acres, you measure N₂O reduction with your existing protocol stack plus a biochar-specific factor we co-develop, you sell the resulting Scope 3 claim into your existing buyer pool. We learn what a defensible biochar-N₂O factor looks like in the field, on someone else's dime, and we open a second revenue line on every tonne of biochar we are already producing.</w:t>
      </w:r>
    </w:p>
    <w:p>
      <w:pPr>
        <w:spacing w:after="80"/>
      </w:pPr>
      <w:r>
        <w:t>If the Indigo conversation lands, the same package replays at Truterra and Cargill. If it does not, we have a real-world answer for why before we sink methodology-development time into it.</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