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36"/>
      </w:tblGrid>
      <w:tr>
        <w:tc>
          <w:tcPr>
            <w:tcW w:type="dxa" w:w="9936"/>
            <w:shd w:val="clear" w:color="auto" w:fill="FBE9E7"/>
          </w:tcPr>
          <w:p>
            <w:r>
              <w:rPr>
                <w:b/>
                <w:color w:val="A62A2A"/>
                <w:sz w:val="21"/>
              </w:rPr>
              <w:t>NOTIONAL EXAMPLE — NOT AN ISSUED SUSTAINABILITY DECLARATION</w:t>
            </w:r>
          </w:p>
          <w:p>
            <w:r>
              <w:rPr>
                <w:color w:val="A62A2A"/>
                <w:sz w:val="17"/>
              </w:rPr>
              <w:t>A worked example for a Charm bio-oil batch entering co-processing to SAF. Built field-by-field from the mandatory content list in ISCC PLUS 203-1 Traceability v1.1, §3.3.3 (pp.15–16). Values in [blue brackets] are placeholders filled at/after ISCC registration; no certificate number or CI is real or fabricated.</w:t>
            </w:r>
          </w:p>
        </w:tc>
      </w:tr>
    </w:tbl>
    <w:p>
      <w:pPr>
        <w:spacing w:after="80"/>
      </w:pPr>
    </w:p>
    <w:p>
      <w:r>
        <w:rPr>
          <w:b/>
          <w:color w:val="0F6E63"/>
          <w:sz w:val="36"/>
        </w:rPr>
        <w:t>SUSTAINABILITY DECLARATION</w:t>
      </w:r>
    </w:p>
    <w:p>
      <w:r>
        <w:rPr>
          <w:color w:val="666666"/>
          <w:sz w:val="20"/>
        </w:rPr>
        <w:t>Issued under ISCC PLUS · linked to a single physical batch of certified material</w:t>
      </w:r>
    </w:p>
    <w:p>
      <w:pPr>
        <w:spacing w:after="80"/>
      </w:pPr>
    </w:p>
    <w:tbl>
      <w:tblPr>
        <w:tblW w:type="auto" w:w="0"/>
        <w:jc w:val="center"/>
        <w:tblLook w:firstColumn="1" w:firstRow="1" w:lastColumn="0" w:lastRow="0" w:noHBand="0" w:noVBand="1" w:val="04A0"/>
      </w:tblPr>
      <w:tblGrid>
        <w:gridCol w:w="9936"/>
      </w:tblGrid>
      <w:tr>
        <w:tc>
          <w:tcPr>
            <w:tcW w:type="dxa" w:w="9936"/>
            <w:shd w:val="clear" w:color="auto" w:fill="0F6E63"/>
          </w:tcPr>
          <w:p>
            <w:r>
              <w:rPr>
                <w:b/>
                <w:color w:val="FFFFFF"/>
                <w:sz w:val="22"/>
              </w:rPr>
              <w:t>1.  General information  (mandatory — 203-1 §3.3.3)</w:t>
            </w:r>
          </w:p>
        </w:tc>
      </w:tr>
    </w:tbl>
    <w:p>
      <w:pPr>
        <w:spacing w:after="40"/>
      </w:pPr>
    </w:p>
    <w:tbl>
      <w:tblPr>
        <w:tblStyle w:val="TableGrid"/>
        <w:tblW w:type="auto" w:w="0"/>
        <w:jc w:val="left"/>
        <w:tblLook w:firstColumn="1" w:firstRow="1" w:lastColumn="0" w:lastRow="0" w:noHBand="0" w:noVBand="1" w:val="04A0"/>
      </w:tblPr>
      <w:tblGrid>
        <w:gridCol w:w="4968"/>
        <w:gridCol w:w="4968"/>
      </w:tblGrid>
      <w:tr>
        <w:tc>
          <w:tcPr>
            <w:tcW w:type="dxa" w:w="3888"/>
            <w:shd w:val="clear" w:color="auto" w:fill="EEF4F3"/>
          </w:tcPr>
          <w:p>
            <w:r/>
            <w:r>
              <w:rPr>
                <w:b/>
                <w:sz w:val="19"/>
              </w:rPr>
              <w:t>Name &amp; address of supplier</w:t>
            </w:r>
          </w:p>
        </w:tc>
        <w:tc>
          <w:tcPr>
            <w:tcW w:type="dxa" w:w="6048"/>
          </w:tcPr>
          <w:p>
            <w:r/>
            <w:r>
              <w:rPr>
                <w:sz w:val="19"/>
              </w:rPr>
              <w:t xml:space="preserve">Charm Industrial, Inc. — </w:t>
            </w:r>
            <w:r>
              <w:rPr>
                <w:i/>
                <w:color w:val="1A5FB4"/>
                <w:sz w:val="19"/>
              </w:rPr>
              <w:t>[production site name &amp; full address, e.g., Fort Lupton, CO facility]</w:t>
            </w:r>
            <w:r>
              <w:rPr>
                <w:sz w:val="19"/>
              </w:rPr>
            </w:r>
          </w:p>
        </w:tc>
      </w:tr>
      <w:tr>
        <w:tc>
          <w:tcPr>
            <w:tcW w:type="dxa" w:w="3888"/>
            <w:shd w:val="clear" w:color="auto" w:fill="EEF4F3"/>
          </w:tcPr>
          <w:p>
            <w:r/>
            <w:r>
              <w:rPr>
                <w:b/>
                <w:sz w:val="19"/>
              </w:rPr>
              <w:t>Name &amp; address of recipient</w:t>
            </w:r>
          </w:p>
        </w:tc>
        <w:tc>
          <w:tcPr>
            <w:tcW w:type="dxa" w:w="6048"/>
          </w:tcPr>
          <w:p>
            <w:r/>
            <w:r>
              <w:rPr>
                <w:sz w:val="19"/>
              </w:rPr>
            </w:r>
            <w:r>
              <w:rPr>
                <w:i/>
                <w:color w:val="1A5FB4"/>
                <w:sz w:val="19"/>
              </w:rPr>
              <w:t>[Refinery legal name &amp; full address — the ISCC PLUS-certified co-processing producer]</w:t>
            </w:r>
            <w:r>
              <w:rPr>
                <w:sz w:val="19"/>
              </w:rPr>
            </w:r>
          </w:p>
        </w:tc>
      </w:tr>
      <w:tr>
        <w:tc>
          <w:tcPr>
            <w:tcW w:type="dxa" w:w="3888"/>
            <w:shd w:val="clear" w:color="auto" w:fill="EEF4F3"/>
          </w:tcPr>
          <w:p>
            <w:r/>
            <w:r>
              <w:rPr>
                <w:b/>
                <w:sz w:val="19"/>
              </w:rPr>
              <w:t>Related contract number</w:t>
            </w:r>
          </w:p>
        </w:tc>
        <w:tc>
          <w:tcPr>
            <w:tcW w:type="dxa" w:w="6048"/>
          </w:tcPr>
          <w:p>
            <w:r/>
            <w:r>
              <w:rPr>
                <w:sz w:val="19"/>
              </w:rPr>
            </w:r>
            <w:r>
              <w:rPr>
                <w:i/>
                <w:color w:val="1A5FB4"/>
                <w:sz w:val="19"/>
              </w:rPr>
              <w:t>[bio-oil supply / tolling contract no.]</w:t>
            </w:r>
            <w:r>
              <w:rPr>
                <w:sz w:val="19"/>
              </w:rPr>
            </w:r>
          </w:p>
        </w:tc>
      </w:tr>
      <w:tr>
        <w:tc>
          <w:tcPr>
            <w:tcW w:type="dxa" w:w="3888"/>
            <w:shd w:val="clear" w:color="auto" w:fill="EEF4F3"/>
          </w:tcPr>
          <w:p>
            <w:r/>
            <w:r>
              <w:rPr>
                <w:b/>
                <w:sz w:val="19"/>
              </w:rPr>
              <w:t>Date of dispatch</w:t>
            </w:r>
          </w:p>
        </w:tc>
        <w:tc>
          <w:tcPr>
            <w:tcW w:type="dxa" w:w="6048"/>
          </w:tcPr>
          <w:p>
            <w:r/>
            <w:r>
              <w:rPr>
                <w:sz w:val="19"/>
              </w:rPr>
            </w:r>
            <w:r>
              <w:rPr>
                <w:i/>
                <w:color w:val="1A5FB4"/>
                <w:sz w:val="19"/>
              </w:rPr>
              <w:t>[dispatch date of this batch]</w:t>
            </w:r>
            <w:r>
              <w:rPr>
                <w:sz w:val="19"/>
              </w:rPr>
            </w:r>
          </w:p>
        </w:tc>
      </w:tr>
      <w:tr>
        <w:tc>
          <w:tcPr>
            <w:tcW w:type="dxa" w:w="3888"/>
            <w:shd w:val="clear" w:color="auto" w:fill="EEF4F3"/>
          </w:tcPr>
          <w:p>
            <w:r/>
            <w:r>
              <w:rPr>
                <w:b/>
                <w:sz w:val="19"/>
              </w:rPr>
              <w:t>Address of dispatch / shipping point</w:t>
            </w:r>
          </w:p>
        </w:tc>
        <w:tc>
          <w:tcPr>
            <w:tcW w:type="dxa" w:w="6048"/>
          </w:tcPr>
          <w:p>
            <w:r/>
            <w:r>
              <w:rPr>
                <w:sz w:val="19"/>
              </w:rPr>
            </w:r>
            <w:r>
              <w:rPr>
                <w:i/>
                <w:color w:val="1A5FB4"/>
                <w:sz w:val="19"/>
              </w:rPr>
              <w:t>[Charm production site address]</w:t>
            </w:r>
            <w:r>
              <w:rPr>
                <w:sz w:val="19"/>
              </w:rPr>
            </w:r>
          </w:p>
        </w:tc>
      </w:tr>
      <w:tr>
        <w:tc>
          <w:tcPr>
            <w:tcW w:type="dxa" w:w="3888"/>
            <w:shd w:val="clear" w:color="auto" w:fill="EEF4F3"/>
          </w:tcPr>
          <w:p>
            <w:r/>
            <w:r>
              <w:rPr>
                <w:b/>
                <w:sz w:val="19"/>
              </w:rPr>
              <w:t>Address of receipt / receiving point</w:t>
            </w:r>
          </w:p>
        </w:tc>
        <w:tc>
          <w:tcPr>
            <w:tcW w:type="dxa" w:w="6048"/>
          </w:tcPr>
          <w:p>
            <w:r/>
            <w:r>
              <w:rPr>
                <w:sz w:val="19"/>
              </w:rPr>
            </w:r>
            <w:r>
              <w:rPr>
                <w:i/>
                <w:color w:val="1A5FB4"/>
                <w:sz w:val="19"/>
              </w:rPr>
              <w:t>[refinery receiving point address]</w:t>
            </w:r>
            <w:r>
              <w:rPr>
                <w:sz w:val="19"/>
              </w:rPr>
            </w:r>
          </w:p>
        </w:tc>
      </w:tr>
      <w:tr>
        <w:tc>
          <w:tcPr>
            <w:tcW w:type="dxa" w:w="3888"/>
            <w:shd w:val="clear" w:color="auto" w:fill="EEF4F3"/>
          </w:tcPr>
          <w:p>
            <w:r/>
            <w:r>
              <w:rPr>
                <w:b/>
                <w:sz w:val="19"/>
              </w:rPr>
              <w:t>Supplier certificate number</w:t>
            </w:r>
          </w:p>
        </w:tc>
        <w:tc>
          <w:tcPr>
            <w:tcW w:type="dxa" w:w="6048"/>
          </w:tcPr>
          <w:p>
            <w:r/>
            <w:r>
              <w:rPr>
                <w:sz w:val="19"/>
              </w:rPr>
            </w:r>
            <w:r>
              <w:rPr>
                <w:i/>
                <w:color w:val="1A5FB4"/>
                <w:sz w:val="19"/>
              </w:rPr>
              <w:t>[Charm ISCC PLUS certificate no. — assigned on registration; scopes: First Gathering Point + Processing Unit (Pyrolysis Plant)]</w:t>
            </w:r>
            <w:r>
              <w:rPr>
                <w:sz w:val="19"/>
              </w:rPr>
            </w:r>
          </w:p>
        </w:tc>
      </w:tr>
      <w:tr>
        <w:tc>
          <w:tcPr>
            <w:tcW w:type="dxa" w:w="3888"/>
            <w:shd w:val="clear" w:color="auto" w:fill="EEF4F3"/>
          </w:tcPr>
          <w:p>
            <w:r/>
            <w:r>
              <w:rPr>
                <w:b/>
                <w:sz w:val="19"/>
              </w:rPr>
              <w:t>Date of issuance of this declaration</w:t>
            </w:r>
          </w:p>
        </w:tc>
        <w:tc>
          <w:tcPr>
            <w:tcW w:type="dxa" w:w="6048"/>
          </w:tcPr>
          <w:p>
            <w:r/>
            <w:r>
              <w:rPr>
                <w:sz w:val="19"/>
              </w:rPr>
            </w:r>
            <w:r>
              <w:rPr>
                <w:i/>
                <w:color w:val="1A5FB4"/>
                <w:sz w:val="19"/>
              </w:rPr>
              <w:t>[SD issue date — within 30 days of dispatch]</w:t>
            </w:r>
            <w:r>
              <w:rPr>
                <w:sz w:val="19"/>
              </w:rPr>
            </w:r>
          </w:p>
        </w:tc>
      </w:tr>
      <w:tr>
        <w:tc>
          <w:tcPr>
            <w:tcW w:type="dxa" w:w="3888"/>
            <w:shd w:val="clear" w:color="auto" w:fill="EEF4F3"/>
          </w:tcPr>
          <w:p>
            <w:r/>
            <w:r>
              <w:rPr>
                <w:b/>
                <w:sz w:val="19"/>
              </w:rPr>
              <w:t>Group member number</w:t>
            </w:r>
          </w:p>
        </w:tc>
        <w:tc>
          <w:tcPr>
            <w:tcW w:type="dxa" w:w="6048"/>
          </w:tcPr>
          <w:p>
            <w:r/>
            <w:r>
              <w:rPr>
                <w:sz w:val="19"/>
              </w:rPr>
              <w:t>N/A for Charm. Charm is the group MANAGER (certificate holder / First Gathering Point), not a group member — so this stays blank on the outgoing declaration. Each forester’s group-member number lives in Charm’s internal supplier list, not on this SD.</w:t>
            </w:r>
          </w:p>
        </w:tc>
      </w:tr>
      <w:tr>
        <w:tc>
          <w:tcPr>
            <w:tcW w:type="dxa" w:w="3888"/>
            <w:shd w:val="clear" w:color="auto" w:fill="EEF4F3"/>
          </w:tcPr>
          <w:p>
            <w:r/>
            <w:r>
              <w:rPr>
                <w:b/>
                <w:sz w:val="19"/>
              </w:rPr>
              <w:t>Unique SD number</w:t>
            </w:r>
          </w:p>
        </w:tc>
        <w:tc>
          <w:tcPr>
            <w:tcW w:type="dxa" w:w="6048"/>
          </w:tcPr>
          <w:p>
            <w:r/>
            <w:r>
              <w:rPr>
                <w:sz w:val="19"/>
              </w:rPr>
            </w:r>
            <w:r>
              <w:rPr>
                <w:i/>
                <w:color w:val="1A5FB4"/>
                <w:sz w:val="19"/>
              </w:rPr>
              <w:t>[e.g., CHARM-SD-2027-000001]</w:t>
            </w:r>
            <w:r>
              <w:rPr>
                <w:sz w:val="19"/>
              </w:rPr>
            </w:r>
          </w:p>
        </w:tc>
      </w:tr>
      <w:tr>
        <w:tc>
          <w:tcPr>
            <w:tcW w:type="dxa" w:w="3888"/>
            <w:shd w:val="clear" w:color="auto" w:fill="EEF4F3"/>
          </w:tcPr>
          <w:p>
            <w:r/>
            <w:r>
              <w:rPr>
                <w:b/>
                <w:sz w:val="19"/>
              </w:rPr>
              <w:t>Compliance statement</w:t>
            </w:r>
          </w:p>
        </w:tc>
        <w:tc>
          <w:tcPr>
            <w:tcW w:type="dxa" w:w="6048"/>
          </w:tcPr>
          <w:p>
            <w:r/>
            <w:r>
              <w:rPr>
                <w:sz w:val="19"/>
              </w:rPr>
              <w:t>ISCC Compliant</w:t>
            </w:r>
          </w:p>
        </w:tc>
      </w:tr>
    </w:tbl>
    <w:p>
      <w:pPr>
        <w:spacing w:after="40"/>
      </w:pPr>
    </w:p>
    <w:p>
      <w:pPr>
        <w:spacing w:after="160"/>
        <w:ind w:left="72"/>
      </w:pPr>
      <w:r>
        <w:rPr>
          <w:i/>
          <w:color w:val="666666"/>
          <w:sz w:val="17"/>
        </w:rPr>
        <w:t>Note: Supplier must hold a valid certificate on BOTH the dispatch date and this issuance date (203-1 §3.3.2, p.12). "ISCC Compliant" is the required verbatim statement.</w:t>
      </w:r>
    </w:p>
    <w:tbl>
      <w:tblPr>
        <w:tblW w:type="auto" w:w="0"/>
        <w:jc w:val="center"/>
        <w:tblLook w:firstColumn="1" w:firstRow="1" w:lastColumn="0" w:lastRow="0" w:noHBand="0" w:noVBand="1" w:val="04A0"/>
      </w:tblPr>
      <w:tblGrid>
        <w:gridCol w:w="9936"/>
      </w:tblGrid>
      <w:tr>
        <w:tc>
          <w:tcPr>
            <w:tcW w:type="dxa" w:w="9936"/>
            <w:shd w:val="clear" w:color="auto" w:fill="0F6E63"/>
          </w:tcPr>
          <w:p>
            <w:r>
              <w:rPr>
                <w:b/>
                <w:color w:val="FFFFFF"/>
                <w:sz w:val="22"/>
              </w:rPr>
              <w:t>2.  Product-related information  (mandatory)</w:t>
            </w:r>
          </w:p>
        </w:tc>
      </w:tr>
    </w:tbl>
    <w:p>
      <w:pPr>
        <w:spacing w:after="40"/>
      </w:pPr>
    </w:p>
    <w:tbl>
      <w:tblPr>
        <w:tblStyle w:val="TableGrid"/>
        <w:tblW w:type="auto" w:w="0"/>
        <w:jc w:val="left"/>
        <w:tblLook w:firstColumn="1" w:firstRow="1" w:lastColumn="0" w:lastRow="0" w:noHBand="0" w:noVBand="1" w:val="04A0"/>
      </w:tblPr>
      <w:tblGrid>
        <w:gridCol w:w="4968"/>
        <w:gridCol w:w="4968"/>
      </w:tblGrid>
      <w:tr>
        <w:tc>
          <w:tcPr>
            <w:tcW w:type="dxa" w:w="3888"/>
            <w:shd w:val="clear" w:color="auto" w:fill="EEF4F3"/>
          </w:tcPr>
          <w:p>
            <w:r/>
            <w:r>
              <w:rPr>
                <w:b/>
                <w:sz w:val="19"/>
              </w:rPr>
              <w:t>Type of product</w:t>
            </w:r>
          </w:p>
        </w:tc>
        <w:tc>
          <w:tcPr>
            <w:tcW w:type="dxa" w:w="6048"/>
          </w:tcPr>
          <w:p>
            <w:r/>
            <w:r>
              <w:rPr>
                <w:sz w:val="19"/>
              </w:rPr>
              <w:t>Pyrolysis oil (fast-pyrolysis bio-oil)</w:t>
            </w:r>
          </w:p>
        </w:tc>
      </w:tr>
      <w:tr>
        <w:tc>
          <w:tcPr>
            <w:tcW w:type="dxa" w:w="3888"/>
            <w:shd w:val="clear" w:color="auto" w:fill="EEF4F3"/>
          </w:tcPr>
          <w:p>
            <w:r/>
            <w:r>
              <w:rPr>
                <w:b/>
                <w:sz w:val="19"/>
              </w:rPr>
              <w:t>Product specification (ISCC PLUS Material List)</w:t>
            </w:r>
          </w:p>
        </w:tc>
        <w:tc>
          <w:tcPr>
            <w:tcW w:type="dxa" w:w="6048"/>
          </w:tcPr>
          <w:p>
            <w:r/>
            <w:r>
              <w:rPr>
                <w:sz w:val="19"/>
              </w:rPr>
              <w:t>Bio Pyrolysis oil. Base entry "Pyrolysis oil (specification)" — ISCC PLUS List of Materials Eligible, Table 2, 9 June 2025: "Liquid products of the pyrolysis process." Prefix is "Bio" because the feedstock is virgin forest biomass: ISCC EU 202-3 Forest Biomass v1.0 §2 (p.7) classifies trunks (whole non-merchantable logs) as forest biomass and reserves "forestry residue" for slash (branches, bark, needles, tops, roots, stumps). A "Bio-circular" prefix would apply only if the material were accepted as a waste under 202-5 (auditor determination; uphill for whole logs). A material specification may be added in brackets; no brand names or process grades.</w:t>
            </w:r>
          </w:p>
        </w:tc>
      </w:tr>
      <w:tr>
        <w:tc>
          <w:tcPr>
            <w:tcW w:type="dxa" w:w="3888"/>
            <w:shd w:val="clear" w:color="auto" w:fill="EEF4F3"/>
          </w:tcPr>
          <w:p>
            <w:r/>
            <w:r>
              <w:rPr>
                <w:b/>
                <w:sz w:val="19"/>
              </w:rPr>
              <w:t>Quantity of the CERTIFIED part</w:t>
            </w:r>
          </w:p>
        </w:tc>
        <w:tc>
          <w:tcPr>
            <w:tcW w:type="dxa" w:w="6048"/>
          </w:tcPr>
          <w:p>
            <w:r/>
            <w:r>
              <w:rPr>
                <w:sz w:val="19"/>
              </w:rPr>
            </w:r>
            <w:r>
              <w:rPr>
                <w:i/>
                <w:color w:val="1A5FB4"/>
                <w:sz w:val="19"/>
              </w:rPr>
              <w:t>[X]</w:t>
            </w:r>
            <w:r>
              <w:rPr>
                <w:sz w:val="19"/>
              </w:rPr>
              <w:t xml:space="preserve"> metric tons (certified part of the delivered batch)</w:t>
            </w:r>
          </w:p>
        </w:tc>
      </w:tr>
      <w:tr>
        <w:tc>
          <w:tcPr>
            <w:tcW w:type="dxa" w:w="3888"/>
            <w:shd w:val="clear" w:color="auto" w:fill="EEF4F3"/>
          </w:tcPr>
          <w:p>
            <w:r/>
            <w:r>
              <w:rPr>
                <w:b/>
                <w:sz w:val="19"/>
              </w:rPr>
              <w:t>Raw material category (per ISCC PLUS 201)</w:t>
            </w:r>
          </w:p>
        </w:tc>
        <w:tc>
          <w:tcPr>
            <w:tcW w:type="dxa" w:w="6048"/>
          </w:tcPr>
          <w:p>
            <w:r/>
            <w:r>
              <w:rPr>
                <w:sz w:val="19"/>
              </w:rPr>
            </w:r>
            <w:r>
              <w:rPr>
                <w:i/>
                <w:color w:val="1A5FB4"/>
                <w:sz w:val="19"/>
              </w:rPr>
              <w:t>[forest biomass / forest residues — confirm classification]</w:t>
            </w:r>
            <w:r>
              <w:rPr>
                <w:sz w:val="19"/>
              </w:rPr>
            </w:r>
          </w:p>
        </w:tc>
      </w:tr>
      <w:tr>
        <w:tc>
          <w:tcPr>
            <w:tcW w:type="dxa" w:w="3888"/>
            <w:shd w:val="clear" w:color="auto" w:fill="EEF4F3"/>
          </w:tcPr>
          <w:p>
            <w:r/>
            <w:r>
              <w:rPr>
                <w:b/>
                <w:sz w:val="19"/>
              </w:rPr>
              <w:t>Chain-of-custody method applied</w:t>
            </w:r>
          </w:p>
        </w:tc>
        <w:tc>
          <w:tcPr>
            <w:tcW w:type="dxa" w:w="6048"/>
          </w:tcPr>
          <w:p>
            <w:r/>
            <w:r>
              <w:rPr>
                <w:sz w:val="19"/>
              </w:rPr>
              <w:t>Mass Balance</w:t>
            </w:r>
          </w:p>
        </w:tc>
      </w:tr>
      <w:tr>
        <w:tc>
          <w:tcPr>
            <w:tcW w:type="dxa" w:w="3888"/>
            <w:shd w:val="clear" w:color="auto" w:fill="EEF4F3"/>
          </w:tcPr>
          <w:p>
            <w:r/>
            <w:r>
              <w:rPr>
                <w:b/>
                <w:sz w:val="19"/>
              </w:rPr>
              <w:t>Mass-balance option (Credit Method)</w:t>
            </w:r>
          </w:p>
        </w:tc>
        <w:tc>
          <w:tcPr>
            <w:tcW w:type="dxa" w:w="6048"/>
          </w:tcPr>
          <w:p>
            <w:r/>
            <w:r>
              <w:rPr>
                <w:sz w:val="19"/>
              </w:rPr>
              <w:t>Credit Method — Free Attribution Approach</w:t>
            </w:r>
          </w:p>
        </w:tc>
      </w:tr>
      <w:tr>
        <w:tc>
          <w:tcPr>
            <w:tcW w:type="dxa" w:w="3888"/>
            <w:shd w:val="clear" w:color="auto" w:fill="EEF4F3"/>
          </w:tcPr>
          <w:p>
            <w:r/>
            <w:r>
              <w:rPr>
                <w:b/>
                <w:sz w:val="19"/>
              </w:rPr>
              <w:t>Reflection of input characteristics</w:t>
            </w:r>
          </w:p>
        </w:tc>
        <w:tc>
          <w:tcPr>
            <w:tcW w:type="dxa" w:w="6048"/>
          </w:tcPr>
          <w:p>
            <w:r/>
            <w:r>
              <w:rPr>
                <w:sz w:val="19"/>
              </w:rPr>
              <w:t>Complete reflection</w:t>
            </w:r>
          </w:p>
        </w:tc>
      </w:tr>
      <w:tr>
        <w:tc>
          <w:tcPr>
            <w:tcW w:type="dxa" w:w="3888"/>
            <w:shd w:val="clear" w:color="auto" w:fill="EEF4F3"/>
          </w:tcPr>
          <w:p>
            <w:r/>
            <w:r>
              <w:rPr>
                <w:b/>
                <w:sz w:val="19"/>
              </w:rPr>
              <w:t>Multi-site credit transfer applied?</w:t>
            </w:r>
          </w:p>
        </w:tc>
        <w:tc>
          <w:tcPr>
            <w:tcW w:type="dxa" w:w="6048"/>
          </w:tcPr>
          <w:p>
            <w:r/>
            <w:r>
              <w:rPr>
                <w:sz w:val="19"/>
              </w:rPr>
            </w:r>
            <w:r>
              <w:rPr>
                <w:i/>
                <w:color w:val="1A5FB4"/>
                <w:sz w:val="19"/>
              </w:rPr>
              <w:t>[No — or specify if credits transferred between Charm sites]</w:t>
            </w:r>
            <w:r>
              <w:rPr>
                <w:sz w:val="19"/>
              </w:rPr>
            </w:r>
          </w:p>
        </w:tc>
      </w:tr>
      <w:tr>
        <w:tc>
          <w:tcPr>
            <w:tcW w:type="dxa" w:w="3888"/>
            <w:shd w:val="clear" w:color="auto" w:fill="EEF4F3"/>
          </w:tcPr>
          <w:p>
            <w:r/>
            <w:r>
              <w:rPr>
                <w:b/>
                <w:sz w:val="19"/>
              </w:rPr>
              <w:t>Add-ons applied</w:t>
            </w:r>
          </w:p>
        </w:tc>
        <w:tc>
          <w:tcPr>
            <w:tcW w:type="dxa" w:w="6048"/>
          </w:tcPr>
          <w:p>
            <w:r/>
            <w:r>
              <w:rPr>
                <w:sz w:val="19"/>
              </w:rPr>
              <w:t>ISCC PLUS GHG Add-on (voluntary) — see Annex A</w:t>
            </w:r>
          </w:p>
        </w:tc>
      </w:tr>
      <w:tr>
        <w:tc>
          <w:tcPr>
            <w:tcW w:type="dxa" w:w="3888"/>
            <w:shd w:val="clear" w:color="auto" w:fill="EEF4F3"/>
          </w:tcPr>
          <w:p>
            <w:r/>
            <w:r>
              <w:rPr>
                <w:b/>
                <w:sz w:val="19"/>
              </w:rPr>
              <w:t>Proof of biogenic content via 14C isotope</w:t>
            </w:r>
          </w:p>
        </w:tc>
        <w:tc>
          <w:tcPr>
            <w:tcW w:type="dxa" w:w="6048"/>
          </w:tcPr>
          <w:p>
            <w:r/>
            <w:r>
              <w:rPr>
                <w:sz w:val="19"/>
              </w:rPr>
            </w:r>
            <w:r>
              <w:rPr>
                <w:i/>
                <w:color w:val="1A5FB4"/>
                <w:sz w:val="19"/>
              </w:rPr>
              <w:t>[N/A — or state if 14C measurement applied]</w:t>
            </w:r>
            <w:r>
              <w:rPr>
                <w:sz w:val="19"/>
              </w:rPr>
            </w:r>
          </w:p>
        </w:tc>
      </w:tr>
      <w:tr>
        <w:tc>
          <w:tcPr>
            <w:tcW w:type="dxa" w:w="3888"/>
            <w:shd w:val="clear" w:color="auto" w:fill="EEF4F3"/>
          </w:tcPr>
          <w:p>
            <w:r/>
            <w:r>
              <w:rPr>
                <w:b/>
                <w:sz w:val="19"/>
              </w:rPr>
              <w:t>Consideration of hetero atoms in certified share</w:t>
            </w:r>
          </w:p>
        </w:tc>
        <w:tc>
          <w:tcPr>
            <w:tcW w:type="dxa" w:w="6048"/>
          </w:tcPr>
          <w:p>
            <w:r/>
            <w:r>
              <w:rPr>
                <w:sz w:val="19"/>
              </w:rPr>
            </w:r>
            <w:r>
              <w:rPr>
                <w:i/>
                <w:color w:val="1A5FB4"/>
                <w:sz w:val="19"/>
              </w:rPr>
              <w:t>[N/A — or state if applicable]</w:t>
            </w:r>
            <w:r>
              <w:rPr>
                <w:sz w:val="19"/>
              </w:rPr>
            </w:r>
          </w:p>
        </w:tc>
      </w:tr>
    </w:tbl>
    <w:p>
      <w:pPr>
        <w:spacing w:after="40"/>
      </w:pPr>
    </w:p>
    <w:p>
      <w:pPr>
        <w:spacing w:after="160"/>
        <w:ind w:left="72"/>
      </w:pPr>
      <w:r>
        <w:rPr>
          <w:i/>
          <w:color w:val="666666"/>
          <w:sz w:val="17"/>
        </w:rPr>
        <w:t>Note: Reflection = "complete reflection" is deliberate: the GHG Add-on (Annex A) can only carry a CI value under complete reflection, not compensation (ISCC PLUS GHG Add-on draft v1.0, §1). Quantity states the certified part only; total delivery is in Section 4.</w:t>
      </w:r>
    </w:p>
    <w:tbl>
      <w:tblPr>
        <w:tblW w:type="auto" w:w="0"/>
        <w:jc w:val="center"/>
        <w:tblLook w:firstColumn="1" w:firstRow="1" w:lastColumn="0" w:lastRow="0" w:noHBand="0" w:noVBand="1" w:val="04A0"/>
      </w:tblPr>
      <w:tblGrid>
        <w:gridCol w:w="9936"/>
      </w:tblGrid>
      <w:tr>
        <w:tc>
          <w:tcPr>
            <w:tcW w:type="dxa" w:w="9936"/>
            <w:shd w:val="clear" w:color="auto" w:fill="0F6E63"/>
          </w:tcPr>
          <w:p>
            <w:r>
              <w:rPr>
                <w:b/>
                <w:color w:val="FFFFFF"/>
                <w:sz w:val="22"/>
              </w:rPr>
              <w:t>3.  Sustainability statement  (mandatory for bio materials)</w:t>
            </w:r>
          </w:p>
        </w:tc>
      </w:tr>
    </w:tbl>
    <w:p>
      <w:pPr>
        <w:spacing w:after="40"/>
      </w:pPr>
    </w:p>
    <w:p>
      <w:pPr>
        <w:ind w:left="144"/>
      </w:pPr>
      <w:r>
        <w:rPr>
          <w:i/>
          <w:sz w:val="19"/>
        </w:rPr>
        <w:t>“The raw material complies with the sustainability criteria according to the ISCC ‘Sustainability Requirements’ as laid down in System Documents ISCC EU 202-3 / 202-4 – Forest Biomass: ISCC Principle 1 / Principles 2-6.”</w:t>
      </w:r>
    </w:p>
    <w:p>
      <w:pPr>
        <w:spacing w:after="80"/>
        <w:ind w:left="144"/>
      </w:pPr>
      <w:r>
        <w:rPr>
          <w:color w:val="666666"/>
          <w:sz w:val="17"/>
        </w:rPr>
        <w:t>If the feedstock is classified as a residue rather than forest biomass, use instead: “The raw material meets the definition of waste or residues, i.e., was not intentionally produced and modified or contaminated or discarded, to meet the definition of waste or residues,” and provide the raw-material category as a residue (203-1 §3.3.3, p.15).</w:t>
      </w:r>
    </w:p>
    <w:p>
      <w:pPr>
        <w:spacing w:after="160"/>
        <w:ind w:left="72"/>
      </w:pPr>
      <w:r>
        <w:rPr>
          <w:i/>
          <w:color w:val="666666"/>
          <w:sz w:val="17"/>
        </w:rPr>
        <w:t>Note: Classification (forest biomass vs. residue) is the one open item — it selects which statement and which 202 module apply. Charm’s existing BFA forestry packages point to the forest-biomass route.</w:t>
      </w:r>
    </w:p>
    <w:tbl>
      <w:tblPr>
        <w:tblW w:type="auto" w:w="0"/>
        <w:jc w:val="center"/>
        <w:tblLook w:firstColumn="1" w:firstRow="1" w:lastColumn="0" w:lastRow="0" w:noHBand="0" w:noVBand="1" w:val="04A0"/>
      </w:tblPr>
      <w:tblGrid>
        <w:gridCol w:w="9936"/>
      </w:tblGrid>
      <w:tr>
        <w:tc>
          <w:tcPr>
            <w:tcW w:type="dxa" w:w="9936"/>
            <w:shd w:val="clear" w:color="auto" w:fill="0F6E63"/>
          </w:tcPr>
          <w:p>
            <w:r>
              <w:rPr>
                <w:b/>
                <w:color w:val="FFFFFF"/>
                <w:sz w:val="22"/>
              </w:rPr>
              <w:t>4.  Voluntary information</w:t>
            </w:r>
          </w:p>
        </w:tc>
      </w:tr>
    </w:tbl>
    <w:p>
      <w:pPr>
        <w:spacing w:after="40"/>
      </w:pPr>
    </w:p>
    <w:tbl>
      <w:tblPr>
        <w:tblStyle w:val="TableGrid"/>
        <w:tblW w:type="auto" w:w="0"/>
        <w:jc w:val="left"/>
        <w:tblLook w:firstColumn="1" w:firstRow="1" w:lastColumn="0" w:lastRow="0" w:noHBand="0" w:noVBand="1" w:val="04A0"/>
      </w:tblPr>
      <w:tblGrid>
        <w:gridCol w:w="4968"/>
        <w:gridCol w:w="4968"/>
      </w:tblGrid>
      <w:tr>
        <w:tc>
          <w:tcPr>
            <w:tcW w:type="dxa" w:w="3888"/>
            <w:shd w:val="clear" w:color="auto" w:fill="EEF4F3"/>
          </w:tcPr>
          <w:p>
            <w:r/>
            <w:r>
              <w:rPr>
                <w:b/>
                <w:sz w:val="19"/>
              </w:rPr>
              <w:t>Total quantity of delivery (certified + non-certified)</w:t>
            </w:r>
          </w:p>
        </w:tc>
        <w:tc>
          <w:tcPr>
            <w:tcW w:type="dxa" w:w="6048"/>
          </w:tcPr>
          <w:p>
            <w:r/>
            <w:r>
              <w:rPr>
                <w:sz w:val="19"/>
              </w:rPr>
            </w:r>
            <w:r>
              <w:rPr>
                <w:i/>
                <w:color w:val="1A5FB4"/>
                <w:sz w:val="19"/>
              </w:rPr>
              <w:t>[Y]</w:t>
            </w:r>
            <w:r>
              <w:rPr>
                <w:sz w:val="19"/>
              </w:rPr>
              <w:t xml:space="preserve"> metric tons</w:t>
            </w:r>
          </w:p>
        </w:tc>
      </w:tr>
      <w:tr>
        <w:tc>
          <w:tcPr>
            <w:tcW w:type="dxa" w:w="3888"/>
            <w:shd w:val="clear" w:color="auto" w:fill="EEF4F3"/>
          </w:tcPr>
          <w:p>
            <w:r/>
            <w:r>
              <w:rPr>
                <w:b/>
                <w:sz w:val="19"/>
              </w:rPr>
              <w:t>Raw material &amp; specification</w:t>
            </w:r>
          </w:p>
        </w:tc>
        <w:tc>
          <w:tcPr>
            <w:tcW w:type="dxa" w:w="6048"/>
          </w:tcPr>
          <w:p>
            <w:r/>
            <w:r>
              <w:rPr>
                <w:sz w:val="19"/>
              </w:rPr>
              <w:t xml:space="preserve">Forest biomass — </w:t>
            </w:r>
            <w:r>
              <w:rPr>
                <w:i/>
                <w:color w:val="1A5FB4"/>
                <w:sz w:val="19"/>
              </w:rPr>
              <w:t>[wood species]</w:t>
            </w:r>
            <w:r>
              <w:rPr>
                <w:sz w:val="19"/>
              </w:rPr>
              <w:t>; from wildfire fuels-reduction forestry operations</w:t>
            </w:r>
          </w:p>
        </w:tc>
      </w:tr>
      <w:tr>
        <w:tc>
          <w:tcPr>
            <w:tcW w:type="dxa" w:w="3888"/>
            <w:shd w:val="clear" w:color="auto" w:fill="EEF4F3"/>
          </w:tcPr>
          <w:p>
            <w:r/>
            <w:r>
              <w:rPr>
                <w:b/>
                <w:sz w:val="19"/>
              </w:rPr>
              <w:t>Country / region of origin</w:t>
            </w:r>
          </w:p>
        </w:tc>
        <w:tc>
          <w:tcPr>
            <w:tcW w:type="dxa" w:w="6048"/>
          </w:tcPr>
          <w:p>
            <w:r/>
            <w:r>
              <w:rPr>
                <w:sz w:val="19"/>
              </w:rPr>
              <w:t xml:space="preserve">United States — </w:t>
            </w:r>
            <w:r>
              <w:rPr>
                <w:i/>
                <w:color w:val="1A5FB4"/>
                <w:sz w:val="19"/>
              </w:rPr>
              <w:t>[state / region]</w:t>
            </w:r>
            <w:r>
              <w:rPr>
                <w:sz w:val="19"/>
              </w:rPr>
            </w:r>
          </w:p>
        </w:tc>
      </w:tr>
      <w:tr>
        <w:tc>
          <w:tcPr>
            <w:tcW w:type="dxa" w:w="3888"/>
            <w:shd w:val="clear" w:color="auto" w:fill="EEF4F3"/>
          </w:tcPr>
          <w:p>
            <w:r/>
            <w:r>
              <w:rPr>
                <w:b/>
                <w:sz w:val="19"/>
              </w:rPr>
              <w:t>Additional information</w:t>
            </w:r>
          </w:p>
        </w:tc>
        <w:tc>
          <w:tcPr>
            <w:tcW w:type="dxa" w:w="6048"/>
          </w:tcPr>
          <w:p>
            <w:r/>
            <w:r>
              <w:rPr>
                <w:sz w:val="19"/>
              </w:rPr>
              <w:t>Bio-oil produced by fast pyrolysis; certified share attributed under Free Attribution (complete reflection)</w:t>
            </w:r>
          </w:p>
        </w:tc>
      </w:tr>
    </w:tbl>
    <w:p>
      <w:pPr>
        <w:spacing w:after="40"/>
      </w:pPr>
    </w:p>
    <w:tbl>
      <w:tblPr>
        <w:tblW w:type="auto" w:w="0"/>
        <w:jc w:val="center"/>
        <w:tblLook w:firstColumn="1" w:firstRow="1" w:lastColumn="0" w:lastRow="0" w:noHBand="0" w:noVBand="1" w:val="04A0"/>
      </w:tblPr>
      <w:tblGrid>
        <w:gridCol w:w="9936"/>
      </w:tblGrid>
      <w:tr>
        <w:tc>
          <w:tcPr>
            <w:tcW w:type="dxa" w:w="9936"/>
            <w:shd w:val="clear" w:color="auto" w:fill="0F6E63"/>
          </w:tcPr>
          <w:p>
            <w:r>
              <w:rPr>
                <w:b/>
                <w:color w:val="FFFFFF"/>
                <w:sz w:val="22"/>
              </w:rPr>
              <w:t>Annex A.  GHG Add-on  (voluntary — ISCC PLUS GHG Add-on; ISCC EU 205 methodology)</w:t>
            </w:r>
          </w:p>
        </w:tc>
      </w:tr>
    </w:tbl>
    <w:p>
      <w:pPr>
        <w:spacing w:after="40"/>
      </w:pPr>
    </w:p>
    <w:tbl>
      <w:tblPr>
        <w:tblStyle w:val="TableGrid"/>
        <w:tblW w:type="auto" w:w="0"/>
        <w:jc w:val="left"/>
        <w:tblLook w:firstColumn="1" w:firstRow="1" w:lastColumn="0" w:lastRow="0" w:noHBand="0" w:noVBand="1" w:val="04A0"/>
      </w:tblPr>
      <w:tblGrid>
        <w:gridCol w:w="4968"/>
        <w:gridCol w:w="4968"/>
      </w:tblGrid>
      <w:tr>
        <w:tc>
          <w:tcPr>
            <w:tcW w:type="dxa" w:w="3888"/>
            <w:shd w:val="clear" w:color="auto" w:fill="EEF4F3"/>
          </w:tcPr>
          <w:p>
            <w:r/>
            <w:r>
              <w:rPr>
                <w:b/>
                <w:sz w:val="19"/>
              </w:rPr>
              <w:t>GHG / CI value</w:t>
            </w:r>
          </w:p>
        </w:tc>
        <w:tc>
          <w:tcPr>
            <w:tcW w:type="dxa" w:w="6048"/>
          </w:tcPr>
          <w:p>
            <w:r/>
            <w:r>
              <w:rPr>
                <w:sz w:val="19"/>
              </w:rPr>
            </w:r>
            <w:r>
              <w:rPr>
                <w:i/>
                <w:color w:val="1A5FB4"/>
                <w:sz w:val="19"/>
              </w:rPr>
              <w:t>[CI value]</w:t>
            </w:r>
            <w:r>
              <w:rPr>
                <w:sz w:val="19"/>
              </w:rPr>
              <w:t xml:space="preserve"> kg CO2eq / dry-ton of bio-oil</w:t>
            </w:r>
          </w:p>
        </w:tc>
      </w:tr>
      <w:tr>
        <w:tc>
          <w:tcPr>
            <w:tcW w:type="dxa" w:w="3888"/>
            <w:shd w:val="clear" w:color="auto" w:fill="EEF4F3"/>
          </w:tcPr>
          <w:p>
            <w:r/>
            <w:r>
              <w:rPr>
                <w:b/>
                <w:sz w:val="19"/>
              </w:rPr>
              <w:t>Provision approach</w:t>
            </w:r>
          </w:p>
        </w:tc>
        <w:tc>
          <w:tcPr>
            <w:tcW w:type="dxa" w:w="6048"/>
          </w:tcPr>
          <w:p>
            <w:r/>
            <w:r>
              <w:rPr>
                <w:sz w:val="19"/>
              </w:rPr>
              <w:t>Actual values (individually calculated), ISCC EU 205 §3.2</w:t>
            </w:r>
          </w:p>
        </w:tc>
      </w:tr>
      <w:tr>
        <w:tc>
          <w:tcPr>
            <w:tcW w:type="dxa" w:w="3888"/>
            <w:shd w:val="clear" w:color="auto" w:fill="EEF4F3"/>
          </w:tcPr>
          <w:p>
            <w:r/>
            <w:r>
              <w:rPr>
                <w:b/>
                <w:sz w:val="19"/>
              </w:rPr>
              <w:t>Calculation period</w:t>
            </w:r>
          </w:p>
        </w:tc>
        <w:tc>
          <w:tcPr>
            <w:tcW w:type="dxa" w:w="6048"/>
          </w:tcPr>
          <w:p>
            <w:r/>
            <w:r>
              <w:rPr>
                <w:sz w:val="19"/>
              </w:rPr>
            </w:r>
            <w:r>
              <w:rPr>
                <w:i/>
                <w:color w:val="1A5FB4"/>
                <w:sz w:val="19"/>
              </w:rPr>
              <w:t>[12-month period — e.g., previous financial year]</w:t>
            </w:r>
            <w:r>
              <w:rPr>
                <w:sz w:val="19"/>
              </w:rPr>
              <w:t xml:space="preserve"> (must be transparently displayed, EU 205 §4.1)</w:t>
            </w:r>
          </w:p>
        </w:tc>
      </w:tr>
      <w:tr>
        <w:tc>
          <w:tcPr>
            <w:tcW w:type="dxa" w:w="3888"/>
            <w:shd w:val="clear" w:color="auto" w:fill="EEF4F3"/>
          </w:tcPr>
          <w:p>
            <w:r/>
            <w:r>
              <w:rPr>
                <w:b/>
                <w:sz w:val="19"/>
              </w:rPr>
              <w:t>Elements included</w:t>
            </w:r>
          </w:p>
        </w:tc>
        <w:tc>
          <w:tcPr>
            <w:tcW w:type="dxa" w:w="6048"/>
          </w:tcPr>
          <w:p>
            <w:r/>
            <w:r>
              <w:rPr>
                <w:sz w:val="19"/>
              </w:rPr>
              <w:t>e(ec) extraction/cultivation + e(td) transport + e(p) processing − savings, per EU 205 formula</w:t>
            </w:r>
          </w:p>
        </w:tc>
      </w:tr>
      <w:tr>
        <w:tc>
          <w:tcPr>
            <w:tcW w:type="dxa" w:w="3888"/>
            <w:shd w:val="clear" w:color="auto" w:fill="EEF4F3"/>
          </w:tcPr>
          <w:p>
            <w:r/>
            <w:r>
              <w:rPr>
                <w:b/>
                <w:sz w:val="19"/>
              </w:rPr>
              <w:t>Reflection basis</w:t>
            </w:r>
          </w:p>
        </w:tc>
        <w:tc>
          <w:tcPr>
            <w:tcW w:type="dxa" w:w="6048"/>
          </w:tcPr>
          <w:p>
            <w:r/>
            <w:r>
              <w:rPr>
                <w:sz w:val="19"/>
              </w:rPr>
              <w:t>Complete reflection (required for GHG Add-on under Free Attribution)</w:t>
            </w:r>
          </w:p>
        </w:tc>
      </w:tr>
      <w:tr>
        <w:tc>
          <w:tcPr>
            <w:tcW w:type="dxa" w:w="3888"/>
            <w:shd w:val="clear" w:color="auto" w:fill="EEF4F3"/>
          </w:tcPr>
          <w:p>
            <w:r/>
            <w:r>
              <w:rPr>
                <w:b/>
                <w:sz w:val="19"/>
              </w:rPr>
              <w:t>Transport mode &amp; distance</w:t>
            </w:r>
          </w:p>
        </w:tc>
        <w:tc>
          <w:tcPr>
            <w:tcW w:type="dxa" w:w="6048"/>
          </w:tcPr>
          <w:p>
            <w:r/>
            <w:r>
              <w:rPr>
                <w:sz w:val="19"/>
              </w:rPr>
            </w:r>
            <w:r>
              <w:rPr>
                <w:i/>
                <w:color w:val="1A5FB4"/>
                <w:sz w:val="19"/>
              </w:rPr>
              <w:t>[mode; km]</w:t>
            </w:r>
            <w:r>
              <w:rPr>
                <w:sz w:val="19"/>
              </w:rPr>
              <w:t xml:space="preserve"> (required where default values are not used)</w:t>
            </w:r>
          </w:p>
        </w:tc>
      </w:tr>
    </w:tbl>
    <w:p>
      <w:pPr>
        <w:spacing w:after="40"/>
      </w:pPr>
    </w:p>
    <w:p>
      <w:pPr>
        <w:spacing w:after="160"/>
        <w:ind w:left="72"/>
      </w:pPr>
      <w:r>
        <w:rPr>
          <w:i/>
          <w:color w:val="666666"/>
          <w:sz w:val="17"/>
        </w:rPr>
        <w:t>Note: The CI is a placeholder here — populate from Charm’s ISCC EU 205 actual-value calculation over a 12-month period. It is NOT invented in this example. Under ISCC PLUS there is no minimum-reduction threshold to be certified; the CI is a declared value (its acceptable level is set by the buyer / any downstream compliance market).</w:t>
      </w:r>
    </w:p>
    <w:tbl>
      <w:tblPr>
        <w:tblW w:type="auto" w:w="0"/>
        <w:jc w:val="center"/>
        <w:tblLook w:firstColumn="1" w:firstRow="1" w:lastColumn="0" w:lastRow="0" w:noHBand="0" w:noVBand="1" w:val="04A0"/>
      </w:tblPr>
      <w:tblGrid>
        <w:gridCol w:w="9936"/>
      </w:tblGrid>
      <w:tr>
        <w:tc>
          <w:tcPr>
            <w:tcW w:type="dxa" w:w="9936"/>
            <w:shd w:val="clear" w:color="auto" w:fill="0F6E63"/>
          </w:tcPr>
          <w:p>
            <w:r>
              <w:rPr>
                <w:b/>
                <w:color w:val="FFFFFF"/>
                <w:sz w:val="22"/>
              </w:rPr>
              <w:t>Issued by</w:t>
            </w:r>
          </w:p>
        </w:tc>
      </w:tr>
    </w:tbl>
    <w:p>
      <w:pPr>
        <w:spacing w:after="40"/>
      </w:pPr>
    </w:p>
    <w:tbl>
      <w:tblPr>
        <w:tblStyle w:val="TableGrid"/>
        <w:tblW w:type="auto" w:w="0"/>
        <w:jc w:val="left"/>
        <w:tblLook w:firstColumn="1" w:firstRow="1" w:lastColumn="0" w:lastRow="0" w:noHBand="0" w:noVBand="1" w:val="04A0"/>
      </w:tblPr>
      <w:tblGrid>
        <w:gridCol w:w="4968"/>
        <w:gridCol w:w="4968"/>
      </w:tblGrid>
      <w:tr>
        <w:tc>
          <w:tcPr>
            <w:tcW w:type="dxa" w:w="3888"/>
            <w:shd w:val="clear" w:color="auto" w:fill="EEF4F3"/>
          </w:tcPr>
          <w:p>
            <w:r/>
            <w:r>
              <w:rPr>
                <w:b/>
                <w:sz w:val="19"/>
              </w:rPr>
              <w:t>Authorised signatory</w:t>
            </w:r>
          </w:p>
        </w:tc>
        <w:tc>
          <w:tcPr>
            <w:tcW w:type="dxa" w:w="6048"/>
          </w:tcPr>
          <w:p>
            <w:r/>
            <w:r>
              <w:rPr>
                <w:sz w:val="19"/>
              </w:rPr>
            </w:r>
            <w:r>
              <w:rPr>
                <w:i/>
                <w:color w:val="1A5FB4"/>
                <w:sz w:val="19"/>
              </w:rPr>
              <w:t>[name, title]</w:t>
            </w:r>
            <w:r>
              <w:rPr>
                <w:sz w:val="19"/>
              </w:rPr>
              <w:t>, Charm Industrial, Inc.</w:t>
            </w:r>
          </w:p>
        </w:tc>
      </w:tr>
      <w:tr>
        <w:tc>
          <w:tcPr>
            <w:tcW w:type="dxa" w:w="3888"/>
            <w:shd w:val="clear" w:color="auto" w:fill="EEF4F3"/>
          </w:tcPr>
          <w:p>
            <w:r/>
            <w:r>
              <w:rPr>
                <w:b/>
                <w:sz w:val="19"/>
              </w:rPr>
              <w:t>Signature</w:t>
            </w:r>
          </w:p>
        </w:tc>
        <w:tc>
          <w:tcPr>
            <w:tcW w:type="dxa" w:w="6048"/>
          </w:tcPr>
          <w:p>
            <w:r/>
            <w:r>
              <w:rPr>
                <w:sz w:val="19"/>
              </w:rPr>
              <w:t>__________________________________</w:t>
            </w:r>
          </w:p>
        </w:tc>
      </w:tr>
      <w:tr>
        <w:tc>
          <w:tcPr>
            <w:tcW w:type="dxa" w:w="3888"/>
            <w:shd w:val="clear" w:color="auto" w:fill="EEF4F3"/>
          </w:tcPr>
          <w:p>
            <w:r/>
            <w:r>
              <w:rPr>
                <w:b/>
                <w:sz w:val="19"/>
              </w:rPr>
              <w:t>Date</w:t>
            </w:r>
          </w:p>
        </w:tc>
        <w:tc>
          <w:tcPr>
            <w:tcW w:type="dxa" w:w="6048"/>
          </w:tcPr>
          <w:p>
            <w:r/>
            <w:r>
              <w:rPr>
                <w:sz w:val="19"/>
              </w:rPr>
            </w:r>
            <w:r>
              <w:rPr>
                <w:i/>
                <w:color w:val="1A5FB4"/>
                <w:sz w:val="19"/>
              </w:rPr>
              <w:t>[date]</w:t>
            </w:r>
            <w:r>
              <w:rPr>
                <w:sz w:val="19"/>
              </w:rPr>
            </w:r>
          </w:p>
        </w:tc>
      </w:tr>
    </w:tbl>
    <w:p>
      <w:pPr>
        <w:spacing w:after="40"/>
      </w:pPr>
    </w:p>
    <w:p>
      <w:pPr>
        <w:spacing w:before="160"/>
      </w:pPr>
      <w:r>
        <w:rPr>
          <w:i/>
          <w:color w:val="666666"/>
          <w:sz w:val="16"/>
        </w:rPr>
        <w:t>Field list source (read this session): ISCC PLUS 203-1 Traceability v1.1 (valid 13 Nov 2025), §3.3.2–§3.3.3, pp.11–16. Template layout (optional) lives in the ISCC client section; use of the template is optional but all mandatory fields above are required (203-1 §3.3.2, p.14).</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