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97D"/>
          <w:sz w:val="32"/>
        </w:rPr>
        <w:t>Charm Industrial</w:t>
      </w:r>
    </w:p>
    <w:p>
      <w:pPr>
        <w:spacing w:after="240"/>
      </w:pPr>
      <w:r>
        <w:rPr>
          <w:rFonts w:ascii="Calibri" w:hAnsi="Calibri"/>
          <w:i/>
          <w:color w:val="707070"/>
          <w:sz w:val="20"/>
        </w:rPr>
        <w:t>Memorandum   |   June 2, 2026</w:t>
      </w:r>
    </w:p>
    <w:p>
      <w:pPr>
        <w:spacing w:after="240"/>
      </w:pPr>
      <w:r>
        <w:rPr>
          <w:rFonts w:ascii="Calibri" w:hAnsi="Calibri"/>
          <w:color w:val="1F497D"/>
          <w:sz w:val="16"/>
        </w:rPr>
        <w:t>————————————————————————————————————————————————————————————————————————————————</w:t>
      </w:r>
    </w:p>
    <w:p>
      <w:pPr>
        <w:spacing w:after="120"/>
      </w:pPr>
      <w:r>
        <w:rPr>
          <w:rFonts w:ascii="Calibri" w:hAnsi="Calibri"/>
          <w:b w:val="0"/>
          <w:i w:val="0"/>
          <w:color w:val="202020"/>
          <w:sz w:val="22"/>
        </w:rPr>
        <w:t>To:      RSB Leadership</w:t>
      </w:r>
    </w:p>
    <w:p>
      <w:pPr>
        <w:spacing w:after="120"/>
      </w:pPr>
      <w:r>
        <w:rPr>
          <w:rFonts w:ascii="Calibri" w:hAnsi="Calibri"/>
          <w:b w:val="0"/>
          <w:i w:val="0"/>
          <w:color w:val="202020"/>
          <w:sz w:val="22"/>
        </w:rPr>
        <w:t>From:  Charm Industrial</w:t>
      </w:r>
    </w:p>
    <w:p>
      <w:pPr>
        <w:spacing w:after="240"/>
      </w:pPr>
      <w:r>
        <w:rPr>
          <w:rFonts w:ascii="Calibri" w:hAnsi="Calibri"/>
          <w:b/>
          <w:sz w:val="22"/>
        </w:rPr>
        <w:t>Re:       RSB Global Advanced Fuels — Areas of Concern</w:t>
      </w:r>
    </w:p>
    <w:p>
      <w:pPr>
        <w:spacing w:after="120"/>
      </w:pPr>
      <w:r>
        <w:rPr>
          <w:rFonts w:ascii="Calibri" w:hAnsi="Calibri"/>
          <w:b w:val="0"/>
          <w:i w:val="0"/>
          <w:color w:val="202020"/>
          <w:sz w:val="22"/>
        </w:rPr>
        <w:t>Based on an initial review of requirements for participation in the RSB Global Advanced Fuels certification program, there are a few areas of concern that make moving forward difficult.</w:t>
      </w:r>
    </w:p>
    <w:p>
      <w:pPr>
        <w:pStyle w:val="Heading1"/>
      </w:pPr>
      <w:r>
        <w:t>Overarching Consideration: Dual Carbon Accounting</w:t>
      </w:r>
    </w:p>
    <w:p>
      <w:pPr>
        <w:spacing w:after="120"/>
      </w:pPr>
      <w:r>
        <w:rPr>
          <w:rFonts w:ascii="Calibri" w:hAnsi="Calibri"/>
          <w:b w:val="0"/>
          <w:i w:val="0"/>
          <w:color w:val="202020"/>
          <w:sz w:val="22"/>
        </w:rPr>
        <w:t>Charm has operated and will continue to operate as a CDR business. As part of that, we have developed, validated, and implemented a complex MRV program aligned with Isometric’s protocols which covers the cradle-to-gate biomass eligibility and GHG quantification processes for our bio-oil and biochar.</w:t>
      </w:r>
    </w:p>
    <w:p>
      <w:pPr>
        <w:spacing w:after="120"/>
      </w:pPr>
      <w:r>
        <w:rPr>
          <w:rFonts w:ascii="Calibri" w:hAnsi="Calibri"/>
          <w:b w:val="0"/>
          <w:i w:val="0"/>
          <w:color w:val="202020"/>
          <w:sz w:val="22"/>
        </w:rPr>
        <w:t>Applying a different carbon accounting methodology specifically for EACs to this part of the pathway presents two options, neither of which are desirable:</w:t>
      </w:r>
    </w:p>
    <w:p>
      <w:pPr>
        <w:pStyle w:val="ListBullet"/>
      </w:pPr>
      <w:r>
        <w:rPr>
          <w:rFonts w:ascii="Calibri" w:hAnsi="Calibri"/>
          <w:sz w:val="22"/>
        </w:rPr>
        <w:t>We would have to change our existing methodology for CDR, which would create a significant administrative and operational burden while increasing verification risk; or</w:t>
      </w:r>
    </w:p>
    <w:p>
      <w:pPr>
        <w:pStyle w:val="ListBullet"/>
      </w:pPr>
      <w:r>
        <w:rPr>
          <w:rFonts w:ascii="Calibri" w:hAnsi="Calibri"/>
          <w:sz w:val="22"/>
        </w:rPr>
        <w:t>We would have to run two different carbon accounting regimes (one for CDR and one for EAC generation) across a single system. This would create significant additional operational overhead, likely require long timelines to align granular requirements across pathways, and propagate opportunities for error.</w:t>
      </w:r>
    </w:p>
    <w:p>
      <w:pPr>
        <w:pStyle w:val="Heading1"/>
      </w:pPr>
      <w:r>
        <w:t>Specific Areas of Concern</w:t>
      </w:r>
    </w:p>
    <w:p>
      <w:pPr>
        <w:pStyle w:val="Heading2"/>
      </w:pPr>
      <w:r>
        <w:t>1. Biomass Supply Chain Certification</w:t>
      </w:r>
    </w:p>
    <w:p>
      <w:pPr>
        <w:spacing w:after="120"/>
      </w:pPr>
      <w:r>
        <w:rPr>
          <w:rFonts w:ascii="Calibri" w:hAnsi="Calibri"/>
          <w:b w:val="0"/>
          <w:i w:val="0"/>
          <w:color w:val="202020"/>
          <w:sz w:val="22"/>
        </w:rPr>
        <w:t>RSB Standard for Advanced Fuels (RSB-STD-01-010 v2.8, April 2026) requires in section 3.5 that forestry residue biomass derive from forests or wood certified by RSB, FSC, or an equivalent approved scheme:</w:t>
      </w:r>
    </w:p>
    <w:p>
      <w:pPr>
        <w:spacing w:before="80" w:after="80"/>
        <w:ind w:left="720" w:right="720"/>
      </w:pPr>
      <w:r>
        <w:rPr>
          <w:rFonts w:ascii="Calibri" w:hAnsi="Calibri"/>
          <w:i/>
          <w:color w:val="303030"/>
          <w:sz w:val="21"/>
        </w:rPr>
        <w:t>"Operators shall provide evidence that forestry harvesting residues derive from forests/wood that is certified by the RSB, Forest Stewardship Council (FSC ) or any verification/certification scheme with equivalent sustainability requirements as approved by the RSB."</w:t>
      </w:r>
      <w:r>
        <w:rPr>
          <w:rFonts w:ascii="Calibri" w:hAnsi="Calibri"/>
          <w:color w:val="707070"/>
          <w:sz w:val="18"/>
        </w:rPr>
        <w:t xml:space="preserve">  — RSB-STD-01-010 v2.8, section 3.5</w:t>
      </w:r>
    </w:p>
    <w:p>
      <w:pPr>
        <w:spacing w:after="120"/>
      </w:pPr>
      <w:r>
        <w:rPr>
          <w:rFonts w:ascii="Calibri" w:hAnsi="Calibri"/>
          <w:b w:val="0"/>
          <w:i w:val="0"/>
          <w:color w:val="202020"/>
          <w:sz w:val="22"/>
        </w:rPr>
        <w:t>Charm primarily works with small foresters contracting with state and local agencies for wildfire fuel load reduction. The additional operational burden required to obtain and manage these certifications is not likely to be feasible in that context and would only become more problematic as we scale.</w:t>
      </w:r>
    </w:p>
    <w:p>
      <w:pPr>
        <w:spacing w:after="120"/>
      </w:pPr>
      <w:r>
        <w:rPr>
          <w:rFonts w:ascii="Calibri" w:hAnsi="Calibri"/>
          <w:b w:val="0"/>
          <w:i w:val="0"/>
          <w:color w:val="202020"/>
          <w:sz w:val="22"/>
        </w:rPr>
        <w:t>Beyond the certification burden, the definition of “forestry harvesting residues” under RSB Standard Amendment RSB-SA-01 v1.0 (December 2021) does not map cleanly onto the wildfire fuel reduction biomass Charm sources. That document specifies that forestry harvesting residues include:</w:t>
      </w:r>
    </w:p>
    <w:p>
      <w:pPr>
        <w:spacing w:before="80" w:after="80"/>
        <w:ind w:left="720" w:right="720"/>
      </w:pPr>
      <w:r>
        <w:rPr>
          <w:rFonts w:ascii="Calibri" w:hAnsi="Calibri"/>
          <w:i/>
          <w:color w:val="303030"/>
          <w:sz w:val="21"/>
        </w:rPr>
        <w:t>"Slash (i.e. treetops, branches and bark), left on the ground after logging or accumulating as a result of a storm, fire, delimbing or other similar disturbance; Salvage logging wood in forest management units: Damaged, dying or dead trees removed in order to prevent further natural damages (wind, storm, pathogens, etc.); Early/non-commercial thinnings: Thinning performed for silvicultural or ecological reasons, including pre-commercial thinning (i.e.: thinning of trees with a typical diameter at a breast height (DBH) below 10 inches/25.4 cm."</w:t>
      </w:r>
      <w:r>
        <w:rPr>
          <w:rFonts w:ascii="Calibri" w:hAnsi="Calibri"/>
          <w:color w:val="707070"/>
          <w:sz w:val="18"/>
        </w:rPr>
        <w:t xml:space="preserve">  — RSB-SA-01 v1.0, section 3.1</w:t>
      </w:r>
    </w:p>
    <w:p>
      <w:pPr>
        <w:spacing w:after="120"/>
      </w:pPr>
      <w:r>
        <w:rPr>
          <w:rFonts w:ascii="Calibri" w:hAnsi="Calibri"/>
          <w:b w:val="0"/>
          <w:i w:val="0"/>
          <w:color w:val="202020"/>
          <w:sz w:val="22"/>
        </w:rPr>
        <w:t>Much of the wood removed in wildfire fuel reduction exceeds that DBH threshold and does not fit the slash or salvage logging definitions. The material does not map cleanly to any of the three residue categories, creating material uncertainty about eligibility.</w:t>
      </w:r>
    </w:p>
    <w:p>
      <w:pPr>
        <w:pStyle w:val="Heading2"/>
      </w:pPr>
      <w:r>
        <w:t>2. Pyrolyzer Co-Product Emissions Allocation</w:t>
      </w:r>
    </w:p>
    <w:p>
      <w:pPr>
        <w:spacing w:after="120"/>
      </w:pPr>
      <w:r>
        <w:rPr>
          <w:rFonts w:ascii="Calibri" w:hAnsi="Calibri"/>
          <w:b w:val="0"/>
          <w:i w:val="0"/>
          <w:color w:val="202020"/>
          <w:sz w:val="22"/>
        </w:rPr>
        <w:t>RSB GHG Methodology (RSB-STD-01-003-01 v3.2, July 2025) requires in section A.8 that emissions be allocated between co-products — including intermediate products such as bio-oil — on an economic value basis:</w:t>
      </w:r>
    </w:p>
    <w:p>
      <w:pPr>
        <w:spacing w:before="80" w:after="80"/>
        <w:ind w:left="720" w:right="720"/>
      </w:pPr>
      <w:r>
        <w:rPr>
          <w:rFonts w:ascii="Calibri" w:hAnsi="Calibri"/>
          <w:i/>
          <w:color w:val="303030"/>
          <w:sz w:val="21"/>
        </w:rPr>
        <w:t>"emissions shall be proportionally allocated between the fuel or its intermediate product and the co-products."</w:t>
      </w:r>
      <w:r>
        <w:rPr>
          <w:rFonts w:ascii="Calibri" w:hAnsi="Calibri"/>
          <w:color w:val="707070"/>
          <w:sz w:val="18"/>
        </w:rPr>
        <w:t xml:space="preserve">  — RSB-STD-01-003-01 v3.2, section A.8</w:t>
      </w:r>
    </w:p>
    <w:p>
      <w:pPr>
        <w:spacing w:before="80" w:after="80"/>
        <w:ind w:left="720" w:right="720"/>
      </w:pPr>
      <w:r>
        <w:rPr>
          <w:rFonts w:ascii="Calibri" w:hAnsi="Calibri"/>
          <w:i/>
          <w:color w:val="303030"/>
          <w:sz w:val="21"/>
        </w:rPr>
        <w:t>"Economic allocation shall be applied to RSB GLOBAL Advanced Products and RSB GLOBAL Advanced Fuels despite the energy nature of some of the products involved."</w:t>
      </w:r>
      <w:r>
        <w:rPr>
          <w:rFonts w:ascii="Calibri" w:hAnsi="Calibri"/>
          <w:color w:val="707070"/>
          <w:sz w:val="18"/>
        </w:rPr>
        <w:t xml:space="preserve">  — RSB-STD-01-003-01 v3.2, section A.8, Table 1</w:t>
      </w:r>
    </w:p>
    <w:p>
      <w:pPr>
        <w:spacing w:after="120"/>
      </w:pPr>
      <w:r>
        <w:rPr>
          <w:rFonts w:ascii="Calibri" w:hAnsi="Calibri"/>
          <w:b w:val="0"/>
          <w:i w:val="0"/>
          <w:color w:val="202020"/>
          <w:sz w:val="22"/>
        </w:rPr>
        <w:t>This directly conflicts with our existing, validated methodology of allocating a given production period’s emissions by proportion of carbon mass — for example, if bio-oil and biochar each held 50% of the carbon mass in pyrolysis products for a period, 50% of that period’s emissions would be allocated to each product.</w:t>
      </w:r>
    </w:p>
    <w:p>
      <w:pPr>
        <w:spacing w:after="120"/>
      </w:pPr>
      <w:r>
        <w:rPr>
          <w:rFonts w:ascii="Calibri" w:hAnsi="Calibri"/>
          <w:b w:val="0"/>
          <w:i w:val="0"/>
          <w:color w:val="202020"/>
          <w:sz w:val="22"/>
        </w:rPr>
        <w:t>This presents two issues. First, it is a material divergence from our validated allocation practices, which is undesirable for the reasons discussed above. Second, if implemented it would disproportionately penalize bio-oil, as it is a significantly more economically valuable product than biochar.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97D"/>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97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