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p>
    <w:p>
      <w:pPr>
        <w:jc w:val="center"/>
      </w:pPr>
      <w:r>
        <w:rPr>
          <w:b/>
          <w:i w:val="0"/>
          <w:color w:val="006B3C"/>
          <w:sz w:val="40"/>
        </w:rPr>
        <w:t>CHARM INDUSTRIAL</w:t>
      </w:r>
    </w:p>
    <w:p>
      <w:pPr>
        <w:jc w:val="center"/>
      </w:pPr>
      <w:r>
        <w:rPr>
          <w:b/>
          <w:i w:val="0"/>
          <w:color w:val="003366"/>
          <w:sz w:val="34"/>
        </w:rPr>
        <w:t>RSB Global Advanced Fuels Certification</w:t>
      </w:r>
    </w:p>
    <w:p>
      <w:pPr>
        <w:jc w:val="center"/>
      </w:pPr>
      <w:r>
        <w:rPr>
          <w:b w:val="0"/>
          <w:i w:val="0"/>
          <w:color w:val="003366"/>
          <w:sz w:val="28"/>
        </w:rPr>
        <w:t>Project Plan &amp; Requirements</w:t>
      </w:r>
    </w:p>
    <w:p>
      <w:pPr>
        <w:jc w:val="center"/>
      </w:pPr>
      <w:r>
        <w:rPr>
          <w:b w:val="0"/>
          <w:i w:val="0"/>
          <w:sz w:val="22"/>
        </w:rPr>
        <w:t>Version 2.0  |  May 2026</w:t>
      </w:r>
    </w:p>
    <w:p>
      <w:pPr>
        <w:jc w:val="center"/>
      </w:pPr>
      <w:r>
        <w:rPr>
          <w:b/>
          <w:i/>
          <w:color w:val="CC0000"/>
          <w:sz w:val="20"/>
        </w:rPr>
        <w:t>DRAFT — FOR INTERNAL USE ONLY. NOT FOR EXTERNAL DISTRIBUTION.</w:t>
      </w:r>
    </w:p>
    <w:p>
      <w:pPr>
        <w:spacing w:before="200" w:after="80"/>
      </w:pPr>
    </w:p>
    <w:p>
      <w:pPr>
        <w:spacing w:before="40" w:after="80"/>
      </w:pPr>
      <w:r>
        <w:rPr>
          <w:b w:val="0"/>
          <w:i/>
          <w:sz w:val="18"/>
        </w:rPr>
        <w:t>Scope: RSB Global Advanced Fuels (RSB-STD-01-010 v2.8, April 2026). Feedstock: forestry harvesting residues converted to bio-oil by pyrolysis. Attribution method: flexible attribution (STD-01-010 §2.4.5 and Annex IV). Pathway: biomass → pyrolysis → bio-oil → refinery co-processing → SAF/fuel.</w:t>
      </w:r>
    </w:p>
    <w:p>
      <w:pPr>
        <w:spacing w:before="40" w:after="80"/>
      </w:pPr>
      <w:r>
        <w:rPr>
          <w:b w:val="0"/>
          <w:i/>
          <w:sz w:val="18"/>
        </w:rPr>
        <w:t>This plan incorporates RSB-GUI-01-013-01 (Normative Forestry Harvesting Residue Guidance, November 2024), its Annex 1 (Verification Guidance, December 2024), and RSB-GUI-PG-2025-02 (Co-Processing GHG Guidance, January 2025). Both guidance documents reference EU Market Access or CORSIA standards in their scope clauses — see Critical Open Items OCI-1 and OCI-2.</w:t>
      </w:r>
    </w:p>
    <w:p>
      <w:r>
        <w:br w:type="page"/>
      </w:r>
    </w:p>
    <w:p>
      <w:pPr>
        <w:spacing w:before="200" w:after="80"/>
      </w:pPr>
      <w:r>
        <w:rPr>
          <w:b/>
          <w:i w:val="0"/>
          <w:caps/>
          <w:color w:val="CC0000"/>
          <w:sz w:val="30"/>
        </w:rPr>
        <w:t>CRITICAL OPEN ITEMS</w:t>
      </w:r>
    </w:p>
    <w:p>
      <w:pPr>
        <w:spacing w:before="40" w:after="80"/>
      </w:pPr>
      <w:r>
        <w:rPr>
          <w:b w:val="0"/>
          <w:i/>
          <w:sz w:val="18"/>
        </w:rPr>
        <w:t>Three items require resolution before Charm finalises its certification approach. All three are OPEN.</w:t>
      </w:r>
    </w:p>
    <w:tbl>
      <w:tblPr>
        <w:tblStyle w:val="TableGrid"/>
        <w:tblW w:type="auto" w:w="0"/>
        <w:tblLook w:firstColumn="1" w:firstRow="1" w:lastColumn="0" w:lastRow="0" w:noHBand="0" w:noVBand="1" w:val="04A0"/>
      </w:tblPr>
      <w:tblGrid>
        <w:gridCol w:w="567"/>
        <w:gridCol w:w="2381"/>
        <w:gridCol w:w="4819"/>
        <w:gridCol w:w="1304"/>
      </w:tblGrid>
      <w:tr>
        <w:tc>
          <w:tcPr>
            <w:tcW w:type="dxa" w:w="2340"/>
            <w:shd w:val="clear" w:color="auto" w:fill="003366"/>
          </w:tcPr>
          <w:p>
            <w:r>
              <w:rPr>
                <w:b/>
                <w:i w:val="0"/>
                <w:color w:val="FFFFFF"/>
                <w:sz w:val="20"/>
              </w:rPr>
              <w:t>#</w:t>
            </w:r>
          </w:p>
        </w:tc>
        <w:tc>
          <w:tcPr>
            <w:tcW w:type="dxa" w:w="2340"/>
            <w:shd w:val="clear" w:color="auto" w:fill="003366"/>
          </w:tcPr>
          <w:p>
            <w:r>
              <w:rPr>
                <w:b/>
                <w:i w:val="0"/>
                <w:color w:val="FFFFFF"/>
                <w:sz w:val="20"/>
              </w:rPr>
              <w:t>Item</w:t>
            </w:r>
          </w:p>
        </w:tc>
        <w:tc>
          <w:tcPr>
            <w:tcW w:type="dxa" w:w="2340"/>
            <w:shd w:val="clear" w:color="auto" w:fill="003366"/>
          </w:tcPr>
          <w:p>
            <w:r>
              <w:rPr>
                <w:b/>
                <w:i w:val="0"/>
                <w:color w:val="FFFFFF"/>
                <w:sz w:val="20"/>
              </w:rPr>
              <w:t>Detail</w:t>
            </w:r>
          </w:p>
        </w:tc>
        <w:tc>
          <w:tcPr>
            <w:tcW w:type="dxa" w:w="2340"/>
            <w:shd w:val="clear" w:color="auto" w:fill="003366"/>
          </w:tcPr>
          <w:p>
            <w:r>
              <w:rPr>
                <w:b/>
                <w:i w:val="0"/>
                <w:color w:val="FFFFFF"/>
                <w:sz w:val="20"/>
              </w:rPr>
              <w:t>Status</w:t>
            </w:r>
          </w:p>
        </w:tc>
      </w:tr>
      <w:tr>
        <w:tc>
          <w:tcPr>
            <w:tcW w:type="dxa" w:w="567"/>
          </w:tcPr>
          <w:p>
            <w:r>
              <w:rPr>
                <w:b w:val="0"/>
                <w:i w:val="0"/>
                <w:sz w:val="18"/>
              </w:rPr>
              <w:t>OCI-1</w:t>
            </w:r>
          </w:p>
        </w:tc>
        <w:tc>
          <w:tcPr>
            <w:tcW w:type="dxa" w:w="2381"/>
          </w:tcPr>
          <w:p>
            <w:r>
              <w:rPr>
                <w:b w:val="0"/>
                <w:i w:val="0"/>
                <w:sz w:val="18"/>
              </w:rPr>
              <w:t>Does RSB-GUI-01-013-01 apply to RSB Global pathway?</w:t>
            </w:r>
          </w:p>
        </w:tc>
        <w:tc>
          <w:tcPr>
            <w:tcW w:type="dxa" w:w="4819"/>
          </w:tcPr>
          <w:p>
            <w:r>
              <w:rPr>
                <w:b w:val="0"/>
                <w:i w:val="0"/>
                <w:sz w:val="18"/>
              </w:rPr>
              <w:t>RSB-GUI-01-013-01 Section 2 states: "Only after publication of the approved RSB Guidance on the Harvesting of Forestry Residues [RSB-GUI-01-013-01] may forestry harvesting residues be certified in the RSB certification system in accordance with the requirements stipulated under the EU Market Access Standard or RSB ICAO CORSIA scheme." RSB Global Advanced Fuels (STD-01-010) is not mentioned. ACTION: Confirm with RSB Secretariat whether RSB-GUI-01-013-01 applies to RSB Global certifications or whether a separate forestry residue guidance governs the Global pathway. Until confirmed, treat GUI-01-013-01 requirements as best-available guidance for planning purposes.</w:t>
            </w:r>
          </w:p>
        </w:tc>
        <w:tc>
          <w:tcPr>
            <w:tcW w:type="dxa" w:w="1304"/>
          </w:tcPr>
          <w:p>
            <w:r>
              <w:rPr>
                <w:b/>
                <w:i w:val="0"/>
                <w:color w:val="CC0000"/>
                <w:sz w:val="18"/>
              </w:rPr>
              <w:t>OPEN — action required</w:t>
            </w:r>
          </w:p>
        </w:tc>
      </w:tr>
      <w:tr>
        <w:tc>
          <w:tcPr>
            <w:tcW w:type="dxa" w:w="567"/>
          </w:tcPr>
          <w:p>
            <w:r>
              <w:rPr>
                <w:b w:val="0"/>
                <w:i w:val="0"/>
                <w:sz w:val="18"/>
              </w:rPr>
              <w:t>OCI-2</w:t>
            </w:r>
          </w:p>
        </w:tc>
        <w:tc>
          <w:tcPr>
            <w:tcW w:type="dxa" w:w="2381"/>
          </w:tcPr>
          <w:p>
            <w:r>
              <w:rPr>
                <w:b w:val="0"/>
                <w:i w:val="0"/>
                <w:sz w:val="18"/>
              </w:rPr>
              <w:t>Does RSB-GUI-PG-2025-02 apply to RSB Global co-processing?</w:t>
            </w:r>
          </w:p>
        </w:tc>
        <w:tc>
          <w:tcPr>
            <w:tcW w:type="dxa" w:w="4819"/>
          </w:tcPr>
          <w:p>
            <w:r>
              <w:rPr>
                <w:b w:val="0"/>
                <w:i w:val="0"/>
                <w:sz w:val="18"/>
              </w:rPr>
              <w:t>RSB-GUI-PG-2025-02 Section 2 states: "This Proactive Guidance is directly related to the requirements stated in the Standard for EU Market Access [RSB-STD-11-001] and RSB EU RED Procedure for Traceability [RSB-PRO-11-001-20-001]." Section 4 referenced standards are exclusively EU RED. STD-01-003-01 v3.2 Section B.10 cross-references co-processing guidance, but whether GUI-PG-2025-02 is the operative document for RSB Global pathway requires confirmation. ACTION: Confirm with RSB Secretariat whether GUI-PG-2025-02 governs co-processing GHG under RSB Global, or whether STD-01-003-01 v3.2 B.10 applies directly without this guidance document.</w:t>
            </w:r>
          </w:p>
        </w:tc>
        <w:tc>
          <w:tcPr>
            <w:tcW w:type="dxa" w:w="1304"/>
          </w:tcPr>
          <w:p>
            <w:r>
              <w:rPr>
                <w:b/>
                <w:i w:val="0"/>
                <w:color w:val="CC0000"/>
                <w:sz w:val="18"/>
              </w:rPr>
              <w:t>OPEN — action required</w:t>
            </w:r>
          </w:p>
        </w:tc>
      </w:tr>
      <w:tr>
        <w:tc>
          <w:tcPr>
            <w:tcW w:type="dxa" w:w="567"/>
          </w:tcPr>
          <w:p>
            <w:r>
              <w:rPr>
                <w:b w:val="0"/>
                <w:i w:val="0"/>
                <w:sz w:val="18"/>
              </w:rPr>
              <w:t>OCI-3</w:t>
            </w:r>
          </w:p>
        </w:tc>
        <w:tc>
          <w:tcPr>
            <w:tcW w:type="dxa" w:w="2381"/>
          </w:tcPr>
          <w:p>
            <w:r>
              <w:rPr>
                <w:b w:val="0"/>
                <w:i w:val="0"/>
                <w:sz w:val="18"/>
              </w:rPr>
              <w:t>Refinery partner RSB certification status</w:t>
            </w:r>
          </w:p>
        </w:tc>
        <w:tc>
          <w:tcPr>
            <w:tcW w:type="dxa" w:w="4819"/>
          </w:tcPr>
          <w:p>
            <w:r>
              <w:rPr>
                <w:b w:val="0"/>
                <w:i w:val="0"/>
                <w:sz w:val="18"/>
              </w:rPr>
              <w:t>A refinery or co-processing facility accepting Charm's bio-oil must hold RSB certification as a participating operator. Without confirmed RSB certification at the refinery, Charm's supply chain cannot be certified end-to-end. ACTION: Confirm refinery partner holds or is actively pursuing RSB certification; agree on timeline and incorporate into commercial arrangements.</w:t>
            </w:r>
          </w:p>
        </w:tc>
        <w:tc>
          <w:tcPr>
            <w:tcW w:type="dxa" w:w="1304"/>
          </w:tcPr>
          <w:p>
            <w:r>
              <w:rPr>
                <w:b/>
                <w:i w:val="0"/>
                <w:color w:val="CC0000"/>
                <w:sz w:val="18"/>
              </w:rPr>
              <w:t>OPEN — action required</w:t>
            </w:r>
          </w:p>
        </w:tc>
      </w:tr>
    </w:tbl>
    <w:p>
      <w:r>
        <w:br w:type="page"/>
      </w:r>
    </w:p>
    <w:p>
      <w:pPr>
        <w:spacing w:before="200" w:after="80"/>
      </w:pPr>
      <w:r>
        <w:rPr>
          <w:b/>
          <w:i w:val="0"/>
          <w:caps/>
          <w:color w:val="003366"/>
          <w:sz w:val="30"/>
        </w:rPr>
        <w:t>PART 1: CERTIFICATION FRAMEWORK</w:t>
      </w:r>
    </w:p>
    <w:p>
      <w:pPr>
        <w:spacing w:before="120" w:after="80"/>
      </w:pPr>
      <w:r>
        <w:rPr>
          <w:b/>
          <w:i w:val="0"/>
          <w:color w:val="003366"/>
          <w:sz w:val="24"/>
        </w:rPr>
        <w:t>1.1  Why RSB Global Advanced Fuels</w:t>
      </w:r>
    </w:p>
    <w:p>
      <w:pPr>
        <w:spacing w:before="40" w:after="80"/>
      </w:pPr>
      <w:r>
        <w:rPr>
          <w:b w:val="0"/>
          <w:i w:val="0"/>
          <w:sz w:val="20"/>
        </w:rPr>
        <w:t>Charm is pursuing RSB Global Advanced Fuels certification (RSB-STD-01-010 v2.8, April 2026). This is the voluntary, non-EU-RED, non-CORSIA pathway. Key reasons:</w:t>
      </w:r>
    </w:p>
    <w:p>
      <w:pPr>
        <w:pStyle w:val="ListBullet"/>
        <w:spacing w:after="40"/>
        <w:ind w:left="227"/>
      </w:pPr>
      <w:r>
        <w:rPr>
          <w:b w:val="0"/>
          <w:i w:val="0"/>
          <w:sz w:val="20"/>
        </w:rPr>
        <w:t>No radiocarbon (C14) tracing required — flexible attribution is available under §2.4.5 and Annex IV.</w:t>
      </w:r>
    </w:p>
    <w:p>
      <w:pPr>
        <w:pStyle w:val="ListBullet"/>
        <w:spacing w:after="40"/>
        <w:ind w:left="227"/>
      </w:pPr>
      <w:r>
        <w:rPr>
          <w:b w:val="0"/>
          <w:i w:val="0"/>
          <w:sz w:val="20"/>
        </w:rPr>
        <w:t>Supports voluntary SAF sustainability claims accepted by airlines and corporate purchasers.</w:t>
      </w:r>
    </w:p>
    <w:p>
      <w:pPr>
        <w:pStyle w:val="ListBullet"/>
        <w:spacing w:after="40"/>
        <w:ind w:left="227"/>
      </w:pPr>
      <w:r>
        <w:rPr>
          <w:b w:val="0"/>
          <w:i w:val="0"/>
          <w:sz w:val="20"/>
        </w:rPr>
        <w:t>Not subject to EU RED prescriptive requirements that constrain feedstock eligibility.</w:t>
      </w:r>
    </w:p>
    <w:p>
      <w:pPr>
        <w:spacing w:before="120" w:after="80"/>
      </w:pPr>
      <w:r>
        <w:rPr>
          <w:b/>
          <w:i w:val="0"/>
          <w:color w:val="003366"/>
          <w:sz w:val="24"/>
        </w:rPr>
        <w:t>1.2  Charm's Supply Chain Scope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i w:val="0"/>
                <w:color w:val="FFFFFF"/>
                <w:sz w:val="20"/>
              </w:rPr>
              <w:t>Step</w:t>
            </w:r>
          </w:p>
        </w:tc>
        <w:tc>
          <w:tcPr>
            <w:tcW w:type="dxa" w:w="2340"/>
            <w:shd w:val="clear" w:color="auto" w:fill="003366"/>
          </w:tcPr>
          <w:p>
            <w:r>
              <w:rPr>
                <w:b/>
                <w:i w:val="0"/>
                <w:color w:val="FFFFFF"/>
                <w:sz w:val="20"/>
              </w:rPr>
              <w:t>Activity</w:t>
            </w:r>
          </w:p>
        </w:tc>
        <w:tc>
          <w:tcPr>
            <w:tcW w:type="dxa" w:w="2340"/>
            <w:shd w:val="clear" w:color="auto" w:fill="003366"/>
          </w:tcPr>
          <w:p>
            <w:r>
              <w:rPr>
                <w:b/>
                <w:i w:val="0"/>
                <w:color w:val="FFFFFF"/>
                <w:sz w:val="20"/>
              </w:rPr>
              <w:t>Operator</w:t>
            </w:r>
          </w:p>
        </w:tc>
        <w:tc>
          <w:tcPr>
            <w:tcW w:type="dxa" w:w="2340"/>
            <w:shd w:val="clear" w:color="auto" w:fill="003366"/>
          </w:tcPr>
          <w:p>
            <w:r>
              <w:rPr>
                <w:b/>
                <w:i w:val="0"/>
                <w:color w:val="FFFFFF"/>
                <w:sz w:val="20"/>
              </w:rPr>
              <w:t>RSB Role</w:t>
            </w:r>
          </w:p>
        </w:tc>
      </w:tr>
      <w:tr>
        <w:tc>
          <w:tcPr>
            <w:tcW w:type="dxa" w:w="2340"/>
          </w:tcPr>
          <w:p>
            <w:r>
              <w:rPr>
                <w:b w:val="0"/>
                <w:i w:val="0"/>
                <w:sz w:val="18"/>
              </w:rPr>
              <w:t>1</w:t>
            </w:r>
          </w:p>
        </w:tc>
        <w:tc>
          <w:tcPr>
            <w:tcW w:type="dxa" w:w="2340"/>
          </w:tcPr>
          <w:p>
            <w:r>
              <w:rPr>
                <w:b w:val="0"/>
                <w:i w:val="0"/>
                <w:sz w:val="18"/>
              </w:rPr>
              <w:t>Forestry residue sourcing</w:t>
            </w:r>
          </w:p>
        </w:tc>
        <w:tc>
          <w:tcPr>
            <w:tcW w:type="dxa" w:w="2340"/>
          </w:tcPr>
          <w:p>
            <w:r>
              <w:rPr>
                <w:b w:val="0"/>
                <w:i w:val="0"/>
                <w:sz w:val="18"/>
              </w:rPr>
              <w:t>Forest manager (FSC or RSB certified)</w:t>
            </w:r>
          </w:p>
        </w:tc>
        <w:tc>
          <w:tcPr>
            <w:tcW w:type="dxa" w:w="2340"/>
          </w:tcPr>
          <w:p>
            <w:r>
              <w:rPr>
                <w:b w:val="0"/>
                <w:i w:val="0"/>
                <w:sz w:val="18"/>
              </w:rPr>
              <w:t>Upstream supplier — must be RSB-compliant</w:t>
            </w:r>
          </w:p>
        </w:tc>
      </w:tr>
      <w:tr>
        <w:tc>
          <w:tcPr>
            <w:tcW w:type="dxa" w:w="2340"/>
          </w:tcPr>
          <w:p>
            <w:r>
              <w:rPr>
                <w:b w:val="0"/>
                <w:i w:val="0"/>
                <w:sz w:val="18"/>
              </w:rPr>
              <w:t>2</w:t>
            </w:r>
          </w:p>
        </w:tc>
        <w:tc>
          <w:tcPr>
            <w:tcW w:type="dxa" w:w="2340"/>
          </w:tcPr>
          <w:p>
            <w:r>
              <w:rPr>
                <w:b w:val="0"/>
                <w:i w:val="0"/>
                <w:sz w:val="18"/>
              </w:rPr>
              <w:t>Biomass collection and transport to Charm</w:t>
            </w:r>
          </w:p>
        </w:tc>
        <w:tc>
          <w:tcPr>
            <w:tcW w:type="dxa" w:w="2340"/>
          </w:tcPr>
          <w:p>
            <w:r>
              <w:rPr>
                <w:b w:val="0"/>
                <w:i w:val="0"/>
                <w:sz w:val="18"/>
              </w:rPr>
              <w:t>Charm Industrial</w:t>
            </w:r>
          </w:p>
        </w:tc>
        <w:tc>
          <w:tcPr>
            <w:tcW w:type="dxa" w:w="2340"/>
          </w:tcPr>
          <w:p>
            <w:r>
              <w:rPr>
                <w:b w:val="0"/>
                <w:i w:val="0"/>
                <w:sz w:val="18"/>
              </w:rPr>
              <w:t>Participating Operator</w:t>
            </w:r>
          </w:p>
        </w:tc>
      </w:tr>
      <w:tr>
        <w:tc>
          <w:tcPr>
            <w:tcW w:type="dxa" w:w="2340"/>
          </w:tcPr>
          <w:p>
            <w:r>
              <w:rPr>
                <w:b w:val="0"/>
                <w:i w:val="0"/>
                <w:sz w:val="18"/>
              </w:rPr>
              <w:t>3</w:t>
            </w:r>
          </w:p>
        </w:tc>
        <w:tc>
          <w:tcPr>
            <w:tcW w:type="dxa" w:w="2340"/>
          </w:tcPr>
          <w:p>
            <w:r>
              <w:rPr>
                <w:b w:val="0"/>
                <w:i w:val="0"/>
                <w:sz w:val="18"/>
              </w:rPr>
              <w:t>Pyrolysis — biomass to bio-oil</w:t>
            </w:r>
          </w:p>
        </w:tc>
        <w:tc>
          <w:tcPr>
            <w:tcW w:type="dxa" w:w="2340"/>
          </w:tcPr>
          <w:p>
            <w:r>
              <w:rPr>
                <w:b w:val="0"/>
                <w:i w:val="0"/>
                <w:sz w:val="18"/>
              </w:rPr>
              <w:t>Charm Industrial</w:t>
            </w:r>
          </w:p>
        </w:tc>
        <w:tc>
          <w:tcPr>
            <w:tcW w:type="dxa" w:w="2340"/>
          </w:tcPr>
          <w:p>
            <w:r>
              <w:rPr>
                <w:b w:val="0"/>
                <w:i w:val="0"/>
                <w:sz w:val="18"/>
              </w:rPr>
              <w:t>Participating Operator</w:t>
            </w:r>
          </w:p>
        </w:tc>
      </w:tr>
      <w:tr>
        <w:tc>
          <w:tcPr>
            <w:tcW w:type="dxa" w:w="2340"/>
          </w:tcPr>
          <w:p>
            <w:r>
              <w:rPr>
                <w:b w:val="0"/>
                <w:i w:val="0"/>
                <w:sz w:val="18"/>
              </w:rPr>
              <w:t>4</w:t>
            </w:r>
          </w:p>
        </w:tc>
        <w:tc>
          <w:tcPr>
            <w:tcW w:type="dxa" w:w="2340"/>
          </w:tcPr>
          <w:p>
            <w:r>
              <w:rPr>
                <w:b w:val="0"/>
                <w:i w:val="0"/>
                <w:sz w:val="18"/>
              </w:rPr>
              <w:t>Bio-oil transport to refinery</w:t>
            </w:r>
          </w:p>
        </w:tc>
        <w:tc>
          <w:tcPr>
            <w:tcW w:type="dxa" w:w="2340"/>
          </w:tcPr>
          <w:p>
            <w:r>
              <w:rPr>
                <w:b w:val="0"/>
                <w:i w:val="0"/>
                <w:sz w:val="18"/>
              </w:rPr>
              <w:t>Charm / logistics</w:t>
            </w:r>
          </w:p>
        </w:tc>
        <w:tc>
          <w:tcPr>
            <w:tcW w:type="dxa" w:w="2340"/>
          </w:tcPr>
          <w:p>
            <w:r>
              <w:rPr>
                <w:b w:val="0"/>
                <w:i w:val="0"/>
                <w:sz w:val="18"/>
              </w:rPr>
              <w:t>Participating Operator</w:t>
            </w:r>
          </w:p>
        </w:tc>
      </w:tr>
      <w:tr>
        <w:tc>
          <w:tcPr>
            <w:tcW w:type="dxa" w:w="2340"/>
          </w:tcPr>
          <w:p>
            <w:r>
              <w:rPr>
                <w:b w:val="0"/>
                <w:i w:val="0"/>
                <w:sz w:val="18"/>
              </w:rPr>
              <w:t>5</w:t>
            </w:r>
          </w:p>
        </w:tc>
        <w:tc>
          <w:tcPr>
            <w:tcW w:type="dxa" w:w="2340"/>
          </w:tcPr>
          <w:p>
            <w:r>
              <w:rPr>
                <w:b w:val="0"/>
                <w:i w:val="0"/>
                <w:sz w:val="18"/>
              </w:rPr>
              <w:t>Co-processing at refinery (bio-oil + fossil feedstock)</w:t>
            </w:r>
          </w:p>
        </w:tc>
        <w:tc>
          <w:tcPr>
            <w:tcW w:type="dxa" w:w="2340"/>
          </w:tcPr>
          <w:p>
            <w:r>
              <w:rPr>
                <w:b w:val="0"/>
                <w:i w:val="0"/>
                <w:sz w:val="18"/>
              </w:rPr>
              <w:t>Refinery partner [OCI-3]</w:t>
            </w:r>
          </w:p>
        </w:tc>
        <w:tc>
          <w:tcPr>
            <w:tcW w:type="dxa" w:w="2340"/>
          </w:tcPr>
          <w:p>
            <w:r>
              <w:rPr>
                <w:b w:val="0"/>
                <w:i w:val="0"/>
                <w:sz w:val="18"/>
              </w:rPr>
              <w:t>Participating Operator — must be RSB certified</w:t>
            </w:r>
          </w:p>
        </w:tc>
      </w:tr>
      <w:tr>
        <w:tc>
          <w:tcPr>
            <w:tcW w:type="dxa" w:w="2340"/>
          </w:tcPr>
          <w:p>
            <w:r>
              <w:rPr>
                <w:b w:val="0"/>
                <w:i w:val="0"/>
                <w:sz w:val="18"/>
              </w:rPr>
              <w:t>6</w:t>
            </w:r>
          </w:p>
        </w:tc>
        <w:tc>
          <w:tcPr>
            <w:tcW w:type="dxa" w:w="2340"/>
          </w:tcPr>
          <w:p>
            <w:r>
              <w:rPr>
                <w:b w:val="0"/>
                <w:i w:val="0"/>
                <w:sz w:val="18"/>
              </w:rPr>
              <w:t>Fuel distribution from blend point onward</w:t>
            </w:r>
          </w:p>
        </w:tc>
        <w:tc>
          <w:tcPr>
            <w:tcW w:type="dxa" w:w="2340"/>
          </w:tcPr>
          <w:p>
            <w:r>
              <w:rPr>
                <w:b w:val="0"/>
                <w:i w:val="0"/>
                <w:sz w:val="18"/>
              </w:rPr>
              <w:t>Refinery / customer</w:t>
            </w:r>
          </w:p>
        </w:tc>
        <w:tc>
          <w:tcPr>
            <w:tcW w:type="dxa" w:w="2340"/>
          </w:tcPr>
          <w:p>
            <w:r>
              <w:rPr>
                <w:b w:val="0"/>
                <w:i w:val="0"/>
                <w:sz w:val="18"/>
              </w:rPr>
              <w:t>Book-and-claim from blend point</w:t>
            </w:r>
          </w:p>
        </w:tc>
      </w:tr>
    </w:tbl>
    <w:p>
      <w:pPr>
        <w:spacing w:before="120" w:after="80"/>
      </w:pPr>
      <w:r>
        <w:rPr>
          <w:b/>
          <w:i w:val="0"/>
          <w:color w:val="003366"/>
          <w:sz w:val="24"/>
        </w:rPr>
        <w:t>1.3  Why Flexible Attribution</w:t>
      </w:r>
    </w:p>
    <w:p>
      <w:pPr>
        <w:spacing w:before="40" w:after="80"/>
      </w:pPr>
      <w:r>
        <w:rPr>
          <w:b w:val="0"/>
          <w:i w:val="0"/>
          <w:sz w:val="20"/>
        </w:rPr>
        <w:t>In co-processing, Charm's bio-oil is physically blended with fossil feedstock. The biogenic and fossil molecules cannot be physically separated in the output fuel. Flexible attribution (RSB-STD-01-010 §2.4.5, Annex IV, RG-2024-06) provides an accounting method to allocate biogenic sustainability value to the final fuel product without radiocarbon tracing. Flexible attribution applies up to the blend point only; book-and-claim is required from the blend point onward.</w:t>
      </w:r>
    </w:p>
    <w:p>
      <w:r>
        <w:br w:type="page"/>
      </w:r>
    </w:p>
    <w:p>
      <w:pPr>
        <w:spacing w:before="200" w:after="80"/>
      </w:pPr>
      <w:r>
        <w:rPr>
          <w:b/>
          <w:i w:val="0"/>
          <w:caps/>
          <w:color w:val="003366"/>
          <w:sz w:val="30"/>
        </w:rPr>
        <w:t>PART 2: FEEDSTOCK ELIGIBILITY</w:t>
      </w:r>
    </w:p>
    <w:p>
      <w:pPr>
        <w:spacing w:before="40" w:after="80"/>
      </w:pPr>
      <w:r>
        <w:rPr>
          <w:b w:val="0"/>
          <w:i/>
          <w:color w:val="CC6600"/>
          <w:sz w:val="18"/>
        </w:rPr>
        <w:t>Primary source: RSB-GUI-01-013-01, Normative Guidance on the Harvesting of Forestry Residues (Version 1.0, 11 November 2024). This document is normative and constitutes Section 3 of RSB-SA-01 (RSB Standard Amendment for Woody Biomass). See OCI-1 for scope applicability question.</w:t>
      </w:r>
    </w:p>
    <w:p>
      <w:pPr>
        <w:spacing w:before="120" w:after="80"/>
      </w:pPr>
      <w:r>
        <w:rPr>
          <w:b/>
          <w:i w:val="0"/>
          <w:color w:val="003366"/>
          <w:sz w:val="24"/>
        </w:rPr>
        <w:t>2.1  Eligible Material Types (RSB-GUI-01-013-01 §3.1)</w:t>
      </w:r>
    </w:p>
    <w:p>
      <w:pPr>
        <w:spacing w:before="40" w:after="80"/>
      </w:pPr>
      <w:r>
        <w:rPr>
          <w:b w:val="0"/>
          <w:i w:val="0"/>
          <w:sz w:val="20"/>
        </w:rPr>
        <w:t>RSB-GUI-01-013-01 §3.1 states that "The following material types are considered forestry harvesting residues:"</w:t>
      </w:r>
    </w:p>
    <w:p>
      <w:pPr>
        <w:pStyle w:val="ListBullet"/>
        <w:spacing w:after="40"/>
        <w:ind w:left="227"/>
      </w:pPr>
      <w:r>
        <w:rPr>
          <w:b w:val="0"/>
          <w:i/>
          <w:sz w:val="20"/>
        </w:rPr>
        <w:t>Slash: "Slash (i.e. treetops, branches and bark), left on the ground after logging or accumulating as a result of a storm, fire, delimbing or other similar disturbance"</w:t>
      </w:r>
    </w:p>
    <w:p>
      <w:pPr>
        <w:pStyle w:val="ListBullet"/>
        <w:spacing w:after="40"/>
        <w:ind w:left="227"/>
      </w:pPr>
      <w:r>
        <w:rPr>
          <w:b w:val="0"/>
          <w:i/>
          <w:sz w:val="20"/>
        </w:rPr>
        <w:t>Salvage logging wood: "Salvage logging wood in forest management units: Damaged, dying or dead trees removed in order to prevent further natural damages (wind, storm, pathogens, etc.)"</w:t>
      </w:r>
    </w:p>
    <w:p>
      <w:pPr>
        <w:pStyle w:val="ListBullet"/>
        <w:spacing w:after="40"/>
        <w:ind w:left="227"/>
      </w:pPr>
      <w:r>
        <w:rPr>
          <w:b w:val="0"/>
          <w:i/>
          <w:sz w:val="20"/>
        </w:rPr>
        <w:t>Early/non-commercial thinnings: "Thinning performed for silvicultural or ecological reasons, including pre-commercial thinning (i.e.: thinning of trees with a typical diameter at a breast height (DBH) below 10 inches/25.4 cm)"</w:t>
      </w:r>
    </w:p>
    <w:p>
      <w:pPr>
        <w:spacing w:before="40" w:after="80"/>
      </w:pPr>
      <w:r>
        <w:rPr>
          <w:b/>
          <w:i w:val="0"/>
          <w:color w:val="CC0000"/>
          <w:sz w:val="20"/>
        </w:rPr>
        <w:t>Roundwood is NOT eligible for energy use. RSB-GUI-01-013-01 §3.1 states that 'roundwood shall not be permitted as a feedstock for energy use under the certification framework of the RSB Standard Amendment RSB requirements for woody biomass [RSB-SA-01].' Rationale: when burned for energy, carbon released cannot be sequestered at the same rate by newly-planted forests.</w:t>
      </w:r>
    </w:p>
    <w:p>
      <w:pPr>
        <w:spacing w:before="120" w:after="80"/>
      </w:pPr>
      <w:r>
        <w:rPr>
          <w:b/>
          <w:i w:val="0"/>
          <w:color w:val="003366"/>
          <w:sz w:val="24"/>
        </w:rPr>
        <w:t>2.2  Forest Management Certification (RSB-GUI-01-013-01 §3.2.1)</w:t>
      </w:r>
    </w:p>
    <w:p>
      <w:pPr>
        <w:spacing w:before="40" w:after="80"/>
      </w:pPr>
      <w:r>
        <w:rPr>
          <w:b w:val="0"/>
          <w:i w:val="0"/>
          <w:sz w:val="20"/>
        </w:rPr>
        <w:t>The document states in full:</w:t>
      </w:r>
    </w:p>
    <w:p>
      <w:pPr>
        <w:pStyle w:val="ListBullet"/>
        <w:spacing w:after="40"/>
        <w:ind w:left="227"/>
      </w:pPr>
      <w:r>
        <w:rPr>
          <w:b w:val="0"/>
          <w:i/>
          <w:sz w:val="20"/>
        </w:rPr>
        <w:t>"The Forest Management shall comply with the RSB Principles &amp; Criteria, with the FSC Principles &amp; Criteria or equivalent."</w:t>
      </w:r>
    </w:p>
    <w:p>
      <w:pPr>
        <w:pStyle w:val="ListBullet"/>
        <w:spacing w:after="40"/>
        <w:ind w:left="227"/>
      </w:pPr>
      <w:r>
        <w:rPr>
          <w:b w:val="0"/>
          <w:i/>
          <w:sz w:val="20"/>
        </w:rPr>
        <w:t>"Forest managers supplying forestry harvesting residues as feedstock to the RSB-certified Participating Operator (PO) must be certified to either one of the above mentioned sustainability certification systems."</w:t>
      </w:r>
    </w:p>
    <w:p>
      <w:pPr>
        <w:spacing w:before="40" w:after="80"/>
      </w:pPr>
      <w:r>
        <w:rPr>
          <w:b w:val="0"/>
          <w:i w:val="0"/>
          <w:sz w:val="20"/>
        </w:rPr>
        <w:t>Every forest manager in Charm's supply chain must hold current RSB P&amp;C, FSC, or RSB-recognised equivalent certification. Charm must collect and retain copies. Group FSC certification is acceptable.</w:t>
      </w:r>
    </w:p>
    <w:p>
      <w:pPr>
        <w:spacing w:before="120" w:after="80"/>
      </w:pPr>
      <w:r>
        <w:rPr>
          <w:b/>
          <w:i w:val="0"/>
          <w:color w:val="003366"/>
          <w:sz w:val="24"/>
        </w:rPr>
        <w:t>2.3  Soil Carbon Management (RSB-GUI-01-013-01 §3.2.2)</w:t>
      </w:r>
    </w:p>
    <w:p>
      <w:pPr>
        <w:spacing w:before="40" w:after="80"/>
      </w:pPr>
      <w:r>
        <w:rPr>
          <w:b w:val="0"/>
          <w:i w:val="0"/>
          <w:sz w:val="20"/>
        </w:rPr>
        <w:t>Section 3.2.2 states in full:</w:t>
      </w:r>
    </w:p>
    <w:p>
      <w:pPr>
        <w:pStyle w:val="ListBullet"/>
        <w:spacing w:after="40"/>
        <w:ind w:left="227"/>
      </w:pPr>
      <w:r>
        <w:rPr>
          <w:b w:val="0"/>
          <w:i/>
          <w:sz w:val="20"/>
        </w:rPr>
        <w:t>"As part of the forest management certification, the operator shall ensure that sufficient biomass is left on the ground to minimize the loss of soil organic carbon and maintain or improve soil health and biodiversity. To this end, the operator shall:"</w:t>
      </w:r>
    </w:p>
    <w:p>
      <w:pPr>
        <w:pStyle w:val="ListBullet"/>
        <w:spacing w:after="40"/>
        <w:ind w:left="510"/>
      </w:pPr>
      <w:r>
        <w:rPr>
          <w:b w:val="0"/>
          <w:i/>
          <w:sz w:val="20"/>
        </w:rPr>
        <w:t>"a) define management practices and specify the amount of residues and deadwood that need to be retained on the basis of a context specific assessment or context specific information;"</w:t>
      </w:r>
    </w:p>
    <w:p>
      <w:pPr>
        <w:pStyle w:val="ListBullet"/>
        <w:spacing w:after="40"/>
        <w:ind w:left="510"/>
      </w:pPr>
      <w:r>
        <w:rPr>
          <w:b w:val="0"/>
          <w:i/>
          <w:sz w:val="20"/>
        </w:rPr>
        <w:t>"b) provide soil management planning (e.g. as part of the forest management plan), including specification that residues should be collected after majority of needles / leaves have fallen, and"</w:t>
      </w:r>
    </w:p>
    <w:p>
      <w:pPr>
        <w:pStyle w:val="ListBullet"/>
        <w:spacing w:after="40"/>
        <w:ind w:left="510"/>
      </w:pPr>
      <w:r>
        <w:rPr>
          <w:b w:val="0"/>
          <w:i/>
          <w:sz w:val="20"/>
        </w:rPr>
        <w:t>"c) provide records of the implementation of the planning."</w:t>
      </w:r>
    </w:p>
    <w:p>
      <w:pPr>
        <w:spacing w:before="40" w:after="80"/>
      </w:pPr>
      <w:r>
        <w:rPr>
          <w:b w:val="0"/>
          <w:i w:val="0"/>
          <w:color w:val="CC6600"/>
          <w:sz w:val="20"/>
        </w:rPr>
        <w:t>20% retention: RSB-GUI-01-013-01 §3.2 states "RSB defines under the framework of this Guidance that Participating Operators conducting forest biomass harvesting should orient their activities towards leaving a minimum threshold of 20% of forestry harvesting residues and deadwood remaining on the soil after harvesting operations are completed. This threshold is intended to provide guidance, as the rest of the information in this document (not a strict requirement)."</w:t>
      </w:r>
    </w:p>
    <w:p>
      <w:pPr>
        <w:spacing w:before="120" w:after="80"/>
      </w:pPr>
      <w:r>
        <w:rPr>
          <w:b/>
          <w:i w:val="0"/>
          <w:color w:val="003366"/>
          <w:sz w:val="24"/>
        </w:rPr>
        <w:t>2.4  Annex 1 Verification Indicators (December 2024)</w:t>
      </w:r>
    </w:p>
    <w:p>
      <w:pPr>
        <w:spacing w:before="40" w:after="80"/>
      </w:pPr>
      <w:r>
        <w:rPr>
          <w:b w:val="0"/>
          <w:i w:val="0"/>
          <w:sz w:val="20"/>
        </w:rPr>
        <w:t>Auditors will apply these nine indicators from Annex 1 (Guidance on the Verification Process) when assessing soil management compliance: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Indicator</w:t>
            </w:r>
          </w:p>
        </w:tc>
        <w:tc>
          <w:tcPr>
            <w:tcW w:type="dxa" w:w="3120"/>
            <w:shd w:val="clear" w:color="auto" w:fill="003366"/>
          </w:tcPr>
          <w:p>
            <w:r>
              <w:rPr>
                <w:b/>
                <w:i w:val="0"/>
                <w:color w:val="FFFFFF"/>
                <w:sz w:val="20"/>
              </w:rPr>
              <w:t>Requirement</w:t>
            </w:r>
          </w:p>
        </w:tc>
        <w:tc>
          <w:tcPr>
            <w:tcW w:type="dxa" w:w="3120"/>
            <w:shd w:val="clear" w:color="auto" w:fill="003366"/>
          </w:tcPr>
          <w:p>
            <w:r>
              <w:rPr>
                <w:b/>
                <w:i w:val="0"/>
                <w:color w:val="FFFFFF"/>
                <w:sz w:val="20"/>
              </w:rPr>
              <w:t>Charm Action Required</w:t>
            </w:r>
          </w:p>
        </w:tc>
      </w:tr>
      <w:tr>
        <w:tc>
          <w:tcPr>
            <w:tcW w:type="dxa" w:w="3120"/>
          </w:tcPr>
          <w:p>
            <w:r>
              <w:rPr>
                <w:b w:val="0"/>
                <w:i w:val="0"/>
                <w:sz w:val="18"/>
              </w:rPr>
              <w:t>#1</w:t>
            </w:r>
          </w:p>
        </w:tc>
        <w:tc>
          <w:tcPr>
            <w:tcW w:type="dxa" w:w="3120"/>
          </w:tcPr>
          <w:p>
            <w:r>
              <w:rPr>
                <w:b w:val="0"/>
                <w:i w:val="0"/>
                <w:sz w:val="18"/>
              </w:rPr>
              <w:t>Forest management shall include clear thresholds (min-max ranges, volume) and procedures to estimate forestry harvesting residues left on site, plus characterization of such materials (max. length of branches, disposition on forest ground, etc.)</w:t>
            </w:r>
          </w:p>
        </w:tc>
        <w:tc>
          <w:tcPr>
            <w:tcW w:type="dxa" w:w="3120"/>
          </w:tcPr>
          <w:p>
            <w:r>
              <w:rPr>
                <w:b w:val="0"/>
                <w:i w:val="0"/>
                <w:sz w:val="18"/>
              </w:rPr>
              <w:t>Document minimum retention volumes and characterization methods in forest management plan</w:t>
            </w:r>
          </w:p>
        </w:tc>
      </w:tr>
      <w:tr>
        <w:tc>
          <w:tcPr>
            <w:tcW w:type="dxa" w:w="3120"/>
          </w:tcPr>
          <w:p>
            <w:r>
              <w:rPr>
                <w:b w:val="0"/>
                <w:i w:val="0"/>
                <w:sz w:val="18"/>
              </w:rPr>
              <w:t>#2</w:t>
            </w:r>
          </w:p>
        </w:tc>
        <w:tc>
          <w:tcPr>
            <w:tcW w:type="dxa" w:w="3120"/>
          </w:tcPr>
          <w:p>
            <w:r>
              <w:rPr>
                <w:b w:val="0"/>
                <w:i w:val="0"/>
                <w:sz w:val="18"/>
              </w:rPr>
              <w:t>PO shall have a system for estimating total above-ground biomass of the stand with sufficient precision and low bias to support mass balance accounting of removals; PO shall provide estimates of precision and bias of the biomass estimator</w:t>
            </w:r>
          </w:p>
        </w:tc>
        <w:tc>
          <w:tcPr>
            <w:tcW w:type="dxa" w:w="3120"/>
          </w:tcPr>
          <w:p>
            <w:r>
              <w:rPr>
                <w:b w:val="0"/>
                <w:i w:val="0"/>
                <w:sz w:val="18"/>
              </w:rPr>
              <w:t>Establish allometric model or volume estimation method per species/site; document precision and bias</w:t>
            </w:r>
          </w:p>
        </w:tc>
      </w:tr>
      <w:tr>
        <w:tc>
          <w:tcPr>
            <w:tcW w:type="dxa" w:w="3120"/>
          </w:tcPr>
          <w:p>
            <w:r>
              <w:rPr>
                <w:b w:val="0"/>
                <w:i w:val="0"/>
                <w:sz w:val="18"/>
              </w:rPr>
              <w:t>#3</w:t>
            </w:r>
          </w:p>
        </w:tc>
        <w:tc>
          <w:tcPr>
            <w:tcW w:type="dxa" w:w="3120"/>
          </w:tcPr>
          <w:p>
            <w:r>
              <w:rPr>
                <w:b w:val="0"/>
                <w:i w:val="0"/>
                <w:sz w:val="18"/>
              </w:rPr>
              <w:t>Forest management shall include clear thresholds and procedures to define residues to be left on site; supply chain procedure must include visual confirmation guidelines, training program, and internal audit system</w:t>
            </w:r>
          </w:p>
        </w:tc>
        <w:tc>
          <w:tcPr>
            <w:tcW w:type="dxa" w:w="3120"/>
          </w:tcPr>
          <w:p>
            <w:r>
              <w:rPr>
                <w:b w:val="0"/>
                <w:i w:val="0"/>
                <w:sz w:val="18"/>
              </w:rPr>
              <w:t>Build supply chain eligibility procedure with visual confirmation checklist, staff training materials, and internal audit process</w:t>
            </w:r>
          </w:p>
        </w:tc>
      </w:tr>
      <w:tr>
        <w:tc>
          <w:tcPr>
            <w:tcW w:type="dxa" w:w="3120"/>
          </w:tcPr>
          <w:p>
            <w:r>
              <w:rPr>
                <w:b w:val="0"/>
                <w:i w:val="0"/>
                <w:sz w:val="18"/>
              </w:rPr>
              <w:t>#4</w:t>
            </w:r>
          </w:p>
        </w:tc>
        <w:tc>
          <w:tcPr>
            <w:tcW w:type="dxa" w:w="3120"/>
          </w:tcPr>
          <w:p>
            <w:r>
              <w:rPr>
                <w:b w:val="0"/>
                <w:i w:val="0"/>
                <w:sz w:val="18"/>
              </w:rPr>
              <w:t>POs should orient toward leaving minimum 20% of forestry harvesting residues and deadwood on soil after harvesting (guidance, not strict requirement)</w:t>
            </w:r>
          </w:p>
        </w:tc>
        <w:tc>
          <w:tcPr>
            <w:tcW w:type="dxa" w:w="3120"/>
          </w:tcPr>
          <w:p>
            <w:r>
              <w:rPr>
                <w:b w:val="0"/>
                <w:i w:val="0"/>
                <w:sz w:val="18"/>
              </w:rPr>
              <w:t>Document residue retention targets in forest management plan; maintain implementation records</w:t>
            </w:r>
          </w:p>
        </w:tc>
      </w:tr>
      <w:tr>
        <w:tc>
          <w:tcPr>
            <w:tcW w:type="dxa" w:w="3120"/>
          </w:tcPr>
          <w:p>
            <w:r>
              <w:rPr>
                <w:b w:val="0"/>
                <w:i w:val="0"/>
                <w:sz w:val="18"/>
              </w:rPr>
              <w:t>#5</w:t>
            </w:r>
          </w:p>
        </w:tc>
        <w:tc>
          <w:tcPr>
            <w:tcW w:type="dxa" w:w="3120"/>
          </w:tcPr>
          <w:p>
            <w:r>
              <w:rPr>
                <w:b w:val="0"/>
                <w:i w:val="0"/>
                <w:sz w:val="18"/>
              </w:rPr>
              <w:t>Standing dead wood shall reach at least 15 m³/ha; forest management operations shall aim at reaching this amount according to maturity of stands</w:t>
            </w:r>
          </w:p>
        </w:tc>
        <w:tc>
          <w:tcPr>
            <w:tcW w:type="dxa" w:w="3120"/>
          </w:tcPr>
          <w:p>
            <w:r>
              <w:rPr>
                <w:b w:val="0"/>
                <w:i w:val="0"/>
                <w:sz w:val="18"/>
              </w:rPr>
              <w:t>Monitor standing dead wood per management unit; document target in forest management plan</w:t>
            </w:r>
          </w:p>
        </w:tc>
      </w:tr>
      <w:tr>
        <w:tc>
          <w:tcPr>
            <w:tcW w:type="dxa" w:w="3120"/>
          </w:tcPr>
          <w:p>
            <w:r>
              <w:rPr>
                <w:b w:val="0"/>
                <w:i w:val="0"/>
                <w:sz w:val="18"/>
              </w:rPr>
              <w:t>#6</w:t>
            </w:r>
          </w:p>
        </w:tc>
        <w:tc>
          <w:tcPr>
            <w:tcW w:type="dxa" w:w="3120"/>
          </w:tcPr>
          <w:p>
            <w:r>
              <w:rPr>
                <w:b w:val="0"/>
                <w:i w:val="0"/>
                <w:sz w:val="18"/>
              </w:rPr>
              <w:t>PO shall include and enforce clear and verifiable forest management criteria ensuring harvesting residues are factored in for soil structure protection, prevention of compaction, maintaining/enhancing soil organic matter and nutrient balance</w:t>
            </w:r>
          </w:p>
        </w:tc>
        <w:tc>
          <w:tcPr>
            <w:tcW w:type="dxa" w:w="3120"/>
          </w:tcPr>
          <w:p>
            <w:r>
              <w:rPr>
                <w:b w:val="0"/>
                <w:i w:val="0"/>
                <w:sz w:val="18"/>
              </w:rPr>
              <w:t>Include explicit soil protection criteria in all forest management plans</w:t>
            </w:r>
          </w:p>
        </w:tc>
      </w:tr>
      <w:tr>
        <w:tc>
          <w:tcPr>
            <w:tcW w:type="dxa" w:w="3120"/>
          </w:tcPr>
          <w:p>
            <w:r>
              <w:rPr>
                <w:b w:val="0"/>
                <w:i w:val="0"/>
                <w:sz w:val="18"/>
              </w:rPr>
              <w:t>#7</w:t>
            </w:r>
          </w:p>
        </w:tc>
        <w:tc>
          <w:tcPr>
            <w:tcW w:type="dxa" w:w="3120"/>
          </w:tcPr>
          <w:p>
            <w:r>
              <w:rPr>
                <w:b w:val="0"/>
                <w:i w:val="0"/>
                <w:sz w:val="18"/>
              </w:rPr>
              <w:t>PO shall have a system for estimating Soil Sensitivity (Erosion Hazard) for all sites — allocating each harvest site to Low, Medium, or High erosion hazard class based on RUSLE parameters (Soil Erodibility K, Rainfall Erosivity R, Slope LS)</w:t>
            </w:r>
          </w:p>
        </w:tc>
        <w:tc>
          <w:tcPr>
            <w:tcW w:type="dxa" w:w="3120"/>
          </w:tcPr>
          <w:p>
            <w:r>
              <w:rPr>
                <w:b w:val="0"/>
                <w:i w:val="0"/>
                <w:sz w:val="18"/>
              </w:rPr>
              <w:t>Commission soil sensitivity assessment using RUSLE framework; classify all sourcing sites</w:t>
            </w:r>
          </w:p>
        </w:tc>
      </w:tr>
      <w:tr>
        <w:tc>
          <w:tcPr>
            <w:tcW w:type="dxa" w:w="3120"/>
          </w:tcPr>
          <w:p>
            <w:r>
              <w:rPr>
                <w:b w:val="0"/>
                <w:i w:val="0"/>
                <w:sz w:val="18"/>
              </w:rPr>
              <w:t>#8</w:t>
            </w:r>
          </w:p>
        </w:tc>
        <w:tc>
          <w:tcPr>
            <w:tcW w:type="dxa" w:w="3120"/>
          </w:tcPr>
          <w:p>
            <w:r>
              <w:rPr>
                <w:b w:val="0"/>
                <w:i w:val="0"/>
                <w:sz w:val="18"/>
              </w:rPr>
              <w:t>Consider soil sensitivity when defining minimum proportion of Fine Wood Debris (diameter &lt; 7cm) to be left in the harvest site</w:t>
            </w:r>
          </w:p>
        </w:tc>
        <w:tc>
          <w:tcPr>
            <w:tcW w:type="dxa" w:w="3120"/>
          </w:tcPr>
          <w:p>
            <w:r>
              <w:rPr>
                <w:b w:val="0"/>
                <w:i w:val="0"/>
                <w:sz w:val="18"/>
              </w:rPr>
              <w:t>Define FWD retention targets per soil sensitivity class in forest management plan</w:t>
            </w:r>
          </w:p>
        </w:tc>
      </w:tr>
      <w:tr>
        <w:tc>
          <w:tcPr>
            <w:tcW w:type="dxa" w:w="3120"/>
          </w:tcPr>
          <w:p>
            <w:r>
              <w:rPr>
                <w:b w:val="0"/>
                <w:i w:val="0"/>
                <w:sz w:val="18"/>
              </w:rPr>
              <w:t>#9</w:t>
            </w:r>
          </w:p>
        </w:tc>
        <w:tc>
          <w:tcPr>
            <w:tcW w:type="dxa" w:w="3120"/>
          </w:tcPr>
          <w:p>
            <w:r>
              <w:rPr>
                <w:b w:val="0"/>
                <w:i w:val="0"/>
                <w:sz w:val="18"/>
              </w:rPr>
              <w:t>Minimum Coarse Wood Debris (diameter &gt; 7cm, excluding standing deadwood) to leave on site: Low sensitivity soils: 10 m³; Medium sensitivity soils: 15 m³; High sensitivity soils: 20 m³ (per Bessaad et al., 2022)</w:t>
            </w:r>
          </w:p>
        </w:tc>
        <w:tc>
          <w:tcPr>
            <w:tcW w:type="dxa" w:w="3120"/>
          </w:tcPr>
          <w:p>
            <w:r>
              <w:rPr>
                <w:b w:val="0"/>
                <w:i w:val="0"/>
                <w:sz w:val="18"/>
              </w:rPr>
              <w:t>Measure and document CWD retention per site; demonstrate compliance with sensitivity-class minimum thresholds</w:t>
            </w:r>
          </w:p>
        </w:tc>
      </w:tr>
    </w:tbl>
    <w:p>
      <w:pPr>
        <w:spacing w:before="120" w:after="80"/>
      </w:pPr>
      <w:r>
        <w:rPr>
          <w:b/>
          <w:i w:val="0"/>
          <w:color w:val="003366"/>
          <w:sz w:val="24"/>
        </w:rPr>
        <w:t>2.5  Soil Sensitivity Classification Method (Annex 1 Table 2)</w:t>
      </w:r>
    </w:p>
    <w:p>
      <w:pPr>
        <w:spacing w:before="40" w:after="80"/>
      </w:pPr>
      <w:r>
        <w:rPr>
          <w:b w:val="0"/>
          <w:i w:val="0"/>
          <w:sz w:val="20"/>
        </w:rPr>
        <w:t>Two RUSLE parameters determine soil sensitivity class. K = Soil Erodibility Factor (estimated from soil type; global 1km mapping available from ESDAC). R = Rainfall Erosivity Factor (GloReDa global database). The classification for slopes ≤ 10%: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i w:val="0"/>
                <w:color w:val="FFFFFF"/>
                <w:sz w:val="20"/>
              </w:rPr>
              <w:t>Soil Erodibility K</w:t>
            </w:r>
          </w:p>
        </w:tc>
        <w:tc>
          <w:tcPr>
            <w:tcW w:type="dxa" w:w="2340"/>
            <w:shd w:val="clear" w:color="auto" w:fill="003366"/>
          </w:tcPr>
          <w:p>
            <w:r>
              <w:rPr>
                <w:b/>
                <w:i w:val="0"/>
                <w:color w:val="FFFFFF"/>
                <w:sz w:val="20"/>
              </w:rPr>
              <w:t>R &lt; 700</w:t>
            </w:r>
          </w:p>
        </w:tc>
        <w:tc>
          <w:tcPr>
            <w:tcW w:type="dxa" w:w="2340"/>
            <w:shd w:val="clear" w:color="auto" w:fill="003366"/>
          </w:tcPr>
          <w:p>
            <w:r>
              <w:rPr>
                <w:b/>
                <w:i w:val="0"/>
                <w:color w:val="FFFFFF"/>
                <w:sz w:val="20"/>
              </w:rPr>
              <w:t>R 700–3100</w:t>
            </w:r>
          </w:p>
        </w:tc>
        <w:tc>
          <w:tcPr>
            <w:tcW w:type="dxa" w:w="2340"/>
            <w:shd w:val="clear" w:color="auto" w:fill="003366"/>
          </w:tcPr>
          <w:p>
            <w:r>
              <w:rPr>
                <w:b/>
                <w:i w:val="0"/>
                <w:color w:val="FFFFFF"/>
                <w:sz w:val="20"/>
              </w:rPr>
              <w:t>R &gt; 3100</w:t>
            </w:r>
          </w:p>
        </w:tc>
      </w:tr>
      <w:tr>
        <w:tc>
          <w:tcPr>
            <w:tcW w:type="dxa" w:w="2340"/>
          </w:tcPr>
          <w:p>
            <w:r>
              <w:rPr>
                <w:b/>
                <w:i w:val="0"/>
                <w:sz w:val="20"/>
              </w:rPr>
              <w:t>K &lt; 0.028</w:t>
            </w:r>
          </w:p>
        </w:tc>
        <w:tc>
          <w:tcPr>
            <w:tcW w:type="dxa" w:w="2340"/>
          </w:tcPr>
          <w:p>
            <w:r>
              <w:rPr>
                <w:b w:val="0"/>
                <w:i w:val="0"/>
                <w:sz w:val="18"/>
              </w:rPr>
              <w:t>Low</w:t>
            </w:r>
          </w:p>
        </w:tc>
        <w:tc>
          <w:tcPr>
            <w:tcW w:type="dxa" w:w="2340"/>
          </w:tcPr>
          <w:p>
            <w:r>
              <w:rPr>
                <w:b w:val="0"/>
                <w:i w:val="0"/>
                <w:sz w:val="18"/>
              </w:rPr>
              <w:t>Medium</w:t>
            </w:r>
          </w:p>
        </w:tc>
        <w:tc>
          <w:tcPr>
            <w:tcW w:type="dxa" w:w="2340"/>
          </w:tcPr>
          <w:p>
            <w:r>
              <w:rPr>
                <w:b w:val="0"/>
                <w:i w:val="0"/>
                <w:sz w:val="18"/>
              </w:rPr>
              <w:t>High</w:t>
            </w:r>
          </w:p>
        </w:tc>
      </w:tr>
      <w:tr>
        <w:tc>
          <w:tcPr>
            <w:tcW w:type="dxa" w:w="2340"/>
          </w:tcPr>
          <w:p>
            <w:r>
              <w:rPr>
                <w:b/>
                <w:i w:val="0"/>
                <w:sz w:val="20"/>
              </w:rPr>
              <w:t>K 0.028–0.33</w:t>
            </w:r>
          </w:p>
        </w:tc>
        <w:tc>
          <w:tcPr>
            <w:tcW w:type="dxa" w:w="2340"/>
          </w:tcPr>
          <w:p>
            <w:r>
              <w:rPr>
                <w:b w:val="0"/>
                <w:i w:val="0"/>
                <w:sz w:val="18"/>
              </w:rPr>
              <w:t>Low</w:t>
            </w:r>
          </w:p>
        </w:tc>
        <w:tc>
          <w:tcPr>
            <w:tcW w:type="dxa" w:w="2340"/>
          </w:tcPr>
          <w:p>
            <w:r>
              <w:rPr>
                <w:b w:val="0"/>
                <w:i w:val="0"/>
                <w:sz w:val="18"/>
              </w:rPr>
              <w:t>Medium</w:t>
            </w:r>
          </w:p>
        </w:tc>
        <w:tc>
          <w:tcPr>
            <w:tcW w:type="dxa" w:w="2340"/>
          </w:tcPr>
          <w:p>
            <w:r>
              <w:rPr>
                <w:b w:val="0"/>
                <w:i w:val="0"/>
                <w:sz w:val="18"/>
              </w:rPr>
              <w:t>High</w:t>
            </w:r>
          </w:p>
        </w:tc>
      </w:tr>
      <w:tr>
        <w:tc>
          <w:tcPr>
            <w:tcW w:type="dxa" w:w="2340"/>
          </w:tcPr>
          <w:p>
            <w:r>
              <w:rPr>
                <w:b/>
                <w:i w:val="0"/>
                <w:sz w:val="20"/>
              </w:rPr>
              <w:t>K &gt; 0.33</w:t>
            </w:r>
          </w:p>
        </w:tc>
        <w:tc>
          <w:tcPr>
            <w:tcW w:type="dxa" w:w="2340"/>
          </w:tcPr>
          <w:p>
            <w:r>
              <w:rPr>
                <w:b w:val="0"/>
                <w:i w:val="0"/>
                <w:sz w:val="18"/>
              </w:rPr>
              <w:t>Medium</w:t>
            </w:r>
          </w:p>
        </w:tc>
        <w:tc>
          <w:tcPr>
            <w:tcW w:type="dxa" w:w="2340"/>
          </w:tcPr>
          <w:p>
            <w:r>
              <w:rPr>
                <w:b w:val="0"/>
                <w:i w:val="0"/>
                <w:sz w:val="18"/>
              </w:rPr>
              <w:t>High</w:t>
            </w:r>
          </w:p>
        </w:tc>
        <w:tc>
          <w:tcPr>
            <w:tcW w:type="dxa" w:w="2340"/>
          </w:tcPr>
          <w:p>
            <w:r>
              <w:rPr>
                <w:b w:val="0"/>
                <w:i w:val="0"/>
                <w:sz w:val="18"/>
              </w:rPr>
              <w:t>High</w:t>
            </w:r>
          </w:p>
        </w:tc>
      </w:tr>
    </w:tbl>
    <w:p>
      <w:pPr>
        <w:spacing w:before="40" w:after="80"/>
      </w:pPr>
      <w:r>
        <w:rPr>
          <w:b w:val="0"/>
          <w:i w:val="0"/>
          <w:sz w:val="20"/>
        </w:rPr>
        <w:t>Slopes &gt; 10%: each level increases by one (Low → Medium, Medium → High). Slopes &gt; 30%: all sites are High sensitivity. (Annex 1, Table 2)</w:t>
      </w:r>
    </w:p>
    <w:p>
      <w:pPr>
        <w:spacing w:before="120" w:after="80"/>
      </w:pPr>
      <w:r>
        <w:rPr>
          <w:b/>
          <w:i w:val="0"/>
          <w:color w:val="003366"/>
          <w:sz w:val="24"/>
        </w:rPr>
        <w:t>2.6  No-Go Areas (RSB-GUI-01-013-01 §3.2)</w:t>
      </w:r>
    </w:p>
    <w:p>
      <w:pPr>
        <w:spacing w:before="40" w:after="80"/>
      </w:pPr>
      <w:r>
        <w:rPr>
          <w:b w:val="0"/>
          <w:i w:val="0"/>
          <w:sz w:val="20"/>
        </w:rPr>
        <w:t>The document states no biomass shall be sourced from "no-go areas" which are "nationally, regionally or internationally protected areas including, but not limited to, the following:"</w:t>
      </w:r>
    </w:p>
    <w:p>
      <w:pPr>
        <w:pStyle w:val="ListBullet"/>
        <w:spacing w:after="40"/>
        <w:ind w:left="227"/>
      </w:pPr>
      <w:r>
        <w:rPr>
          <w:b w:val="0"/>
          <w:i/>
          <w:sz w:val="20"/>
        </w:rPr>
        <w:t>The World Conservation Union "IUCN" Category I–IV protected areas</w:t>
      </w:r>
    </w:p>
    <w:p>
      <w:pPr>
        <w:pStyle w:val="ListBullet"/>
        <w:spacing w:after="40"/>
        <w:ind w:left="227"/>
      </w:pPr>
      <w:r>
        <w:rPr>
          <w:b w:val="0"/>
          <w:i/>
          <w:sz w:val="20"/>
        </w:rPr>
        <w:t>Wetlands of International Importance designated under the Ramsar Convention</w:t>
      </w:r>
    </w:p>
    <w:p>
      <w:pPr>
        <w:pStyle w:val="ListBullet"/>
        <w:spacing w:after="40"/>
        <w:ind w:left="227"/>
      </w:pPr>
      <w:r>
        <w:rPr>
          <w:b w:val="0"/>
          <w:i/>
          <w:sz w:val="20"/>
        </w:rPr>
        <w:t>World Heritage Sites designated under the UNESCO World Heritage Convention</w:t>
      </w:r>
    </w:p>
    <w:p>
      <w:pPr>
        <w:pStyle w:val="ListBullet"/>
        <w:spacing w:after="40"/>
        <w:ind w:left="227"/>
      </w:pPr>
      <w:r>
        <w:rPr>
          <w:b w:val="0"/>
          <w:i/>
          <w:sz w:val="20"/>
        </w:rPr>
        <w:t>Biosphere Reserves designated under the UNESCO Man and the Biosphere Programme</w:t>
      </w:r>
    </w:p>
    <w:p>
      <w:pPr>
        <w:pStyle w:val="ListBullet"/>
        <w:spacing w:after="40"/>
        <w:ind w:left="227"/>
      </w:pPr>
      <w:r>
        <w:rPr>
          <w:b w:val="0"/>
          <w:i/>
          <w:sz w:val="20"/>
        </w:rPr>
        <w:t>Other legally natural protected areas</w:t>
      </w:r>
    </w:p>
    <w:p>
      <w:pPr>
        <w:pStyle w:val="ListBullet"/>
        <w:spacing w:after="40"/>
        <w:ind w:left="227"/>
      </w:pPr>
      <w:r>
        <w:rPr>
          <w:b w:val="0"/>
          <w:i/>
          <w:sz w:val="20"/>
        </w:rPr>
        <w:t>Primary Forest, i.e. naturally regenerated forest, where there are no clearly visible indication of human activities exists and where the ecological processes are not significantly disturbed</w:t>
      </w:r>
    </w:p>
    <w:p>
      <w:pPr>
        <w:pStyle w:val="ListBullet"/>
        <w:spacing w:after="40"/>
        <w:ind w:left="227"/>
      </w:pPr>
      <w:r>
        <w:rPr>
          <w:b w:val="0"/>
          <w:i/>
          <w:sz w:val="20"/>
        </w:rPr>
        <w:t>Ancient and Endangered Forests identified by the Canopy Forest mapper</w:t>
      </w:r>
    </w:p>
    <w:p>
      <w:pPr>
        <w:spacing w:before="120" w:after="80"/>
      </w:pPr>
      <w:r>
        <w:rPr>
          <w:b/>
          <w:i w:val="0"/>
          <w:color w:val="003366"/>
          <w:sz w:val="24"/>
        </w:rPr>
        <w:t>2.7  GHG Starting Point (RSB-GUI-01-013-01 §3.3)</w:t>
      </w:r>
    </w:p>
    <w:p>
      <w:pPr>
        <w:spacing w:before="40" w:after="80"/>
      </w:pPr>
      <w:r>
        <w:rPr>
          <w:b w:val="0"/>
          <w:i w:val="0"/>
          <w:sz w:val="20"/>
        </w:rPr>
        <w:t>Section 3.3 states in full:</w:t>
      </w:r>
    </w:p>
    <w:p>
      <w:pPr>
        <w:pStyle w:val="ListBullet"/>
        <w:spacing w:after="40"/>
        <w:ind w:left="227"/>
      </w:pPr>
      <w:r>
        <w:rPr>
          <w:b w:val="0"/>
          <w:i/>
          <w:sz w:val="20"/>
        </w:rPr>
        <w:t>"The GHG calculation shall start from the collection at the point of origin onwards. The material has a GHG intensity of 0 kg CO₂e/kg at the point of origin."</w:t>
      </w:r>
    </w:p>
    <w:p>
      <w:pPr>
        <w:pStyle w:val="ListBullet"/>
        <w:spacing w:after="40"/>
        <w:ind w:left="227"/>
      </w:pPr>
      <w:r>
        <w:rPr>
          <w:b w:val="0"/>
          <w:i/>
          <w:sz w:val="20"/>
        </w:rPr>
        <w:t>"Emissions associated with the activity that generates the material, i.e. harvesting, do not need to be included."</w:t>
      </w:r>
    </w:p>
    <w:p>
      <w:pPr>
        <w:spacing w:before="40" w:after="80"/>
      </w:pPr>
      <w:r>
        <w:rPr>
          <w:b w:val="0"/>
          <w:i w:val="0"/>
          <w:sz w:val="20"/>
        </w:rPr>
        <w:t>The GHG intensity clock starts at the collection point (loaded onto transport). Harvesting equipment emissions are excluded. Transport from forest to Charm's pyrolysis facility is e_upstream.</w:t>
      </w:r>
    </w:p>
    <w:p>
      <w:pPr>
        <w:spacing w:before="120" w:after="80"/>
      </w:pPr>
      <w:r>
        <w:rPr>
          <w:b/>
          <w:i w:val="0"/>
          <w:color w:val="003366"/>
          <w:sz w:val="24"/>
        </w:rPr>
        <w:t>2.8  Thinnings-Specific Requirements (RSB-GUI-01-013-01 §3.4)</w:t>
      </w:r>
    </w:p>
    <w:p>
      <w:pPr>
        <w:spacing w:before="120" w:after="80"/>
      </w:pPr>
      <w:r>
        <w:rPr>
          <w:b/>
          <w:i w:val="0"/>
          <w:color w:val="003366"/>
          <w:sz w:val="20"/>
        </w:rPr>
        <w:t>Pre-commercial thinning (DBH &lt; 5–10 inches, species/site dependent)</w:t>
      </w:r>
    </w:p>
    <w:p>
      <w:pPr>
        <w:spacing w:before="40" w:after="80"/>
      </w:pPr>
      <w:r>
        <w:rPr>
          <w:b w:val="0"/>
          <w:i w:val="0"/>
          <w:sz w:val="20"/>
        </w:rPr>
        <w:t>The document states:</w:t>
      </w:r>
    </w:p>
    <w:p>
      <w:pPr>
        <w:spacing w:before="40" w:after="80"/>
      </w:pPr>
      <w:r>
        <w:rPr>
          <w:b w:val="0"/>
          <w:i/>
          <w:sz w:val="20"/>
        </w:rPr>
        <w:t>"Pre-commercial thinning: Thinning performed prior to trees reaching maturity, as defined in the forest management plan, typically below 5-10 inches depending on tree species and site conditions. The operator shall evidence that the pre-commercial thinning is performed to reduce densities in overstocked stands to prevent stagnation and increase the growth of the remaining trees, provided substantial stock remains in the stand. The operator shall document the typical size threshold for pre-commercial thinnings applicable to the tree species and region."</w:t>
      </w:r>
    </w:p>
    <w:p>
      <w:pPr>
        <w:spacing w:before="40" w:after="80"/>
      </w:pPr>
      <w:r>
        <w:rPr>
          <w:b w:val="0"/>
          <w:i/>
          <w:color w:val="CC0000"/>
          <w:sz w:val="20"/>
        </w:rPr>
        <w:t>"Note: Unmerchantable trees removed during a clear-cut would not be considered pre-commercial thinnings."</w:t>
      </w:r>
    </w:p>
    <w:p>
      <w:pPr>
        <w:spacing w:before="120" w:after="80"/>
      </w:pPr>
      <w:r>
        <w:rPr>
          <w:b/>
          <w:i w:val="0"/>
          <w:color w:val="003366"/>
          <w:sz w:val="20"/>
        </w:rPr>
        <w:t>Thinning for ecological reasons (DBH &gt; 10 inches)</w:t>
      </w:r>
    </w:p>
    <w:p>
      <w:pPr>
        <w:spacing w:before="40" w:after="80"/>
      </w:pPr>
      <w:r>
        <w:rPr>
          <w:b w:val="0"/>
          <w:i/>
          <w:sz w:val="20"/>
        </w:rPr>
        <w:t>"Thinning performed for ecological reasons: Thinning performed for trees above 10 inches dbh, for example to thin out ecologically undesirable species. The operator shall provide evidence to the auditor about the ecological reason for the thinning."</w:t>
      </w:r>
    </w:p>
    <w:p>
      <w:pPr>
        <w:spacing w:before="40" w:after="80"/>
      </w:pPr>
      <w:r>
        <w:rPr>
          <w:b w:val="0"/>
          <w:i/>
          <w:color w:val="CC6600"/>
          <w:sz w:val="20"/>
        </w:rPr>
        <w:t>"Note: The RSB Secretariat will maintain a positive list of accepted ecological thinning practices. The decision to add a practice to the list will be taken by the RSB Board of Directors following a consultation of the RSB General Standards Working Group."</w:t>
      </w:r>
    </w:p>
    <w:p>
      <w:pPr>
        <w:spacing w:before="120" w:after="80"/>
      </w:pPr>
      <w:r>
        <w:rPr>
          <w:b/>
          <w:i w:val="0"/>
          <w:color w:val="003366"/>
          <w:sz w:val="20"/>
        </w:rPr>
        <w:t>Energy market eligibility test</w:t>
      </w:r>
    </w:p>
    <w:p>
      <w:pPr>
        <w:spacing w:before="40" w:after="80"/>
      </w:pPr>
      <w:r>
        <w:rPr>
          <w:b w:val="0"/>
          <w:i w:val="0"/>
          <w:sz w:val="20"/>
        </w:rPr>
        <w:t>Section 3.4 states:</w:t>
      </w:r>
    </w:p>
    <w:p>
      <w:pPr>
        <w:spacing w:before="40" w:after="80"/>
      </w:pPr>
      <w:r>
        <w:rPr>
          <w:b/>
          <w:i/>
          <w:color w:val="CC0000"/>
          <w:sz w:val="20"/>
        </w:rPr>
        <w:t>"Wood resulting from other thinning activities that are performed additionally in order to supply biomass is not eligible for RSB certification."</w:t>
      </w:r>
    </w:p>
    <w:p>
      <w:pPr>
        <w:spacing w:before="40" w:after="80"/>
      </w:pPr>
      <w:r>
        <w:rPr>
          <w:b w:val="0"/>
          <w:i/>
          <w:sz w:val="20"/>
        </w:rPr>
        <w:t>"For operators delivering into the energy market, thinnings shall only be eligible for certification if they fall under the specification defined in 3.4.1 [RSB-SA-01] and there is no regional pulpwood market to which they could otherwise be sold or if there is sufficient surplus fibre available to serve the additional demand."</w:t>
      </w:r>
    </w:p>
    <w:p>
      <w:pPr>
        <w:spacing w:before="40" w:after="80"/>
      </w:pPr>
      <w:r>
        <w:rPr>
          <w:b w:val="0"/>
          <w:i w:val="0"/>
          <w:sz w:val="20"/>
        </w:rPr>
        <w:t>For Charm's US Southeast sourcing: document the absence of a regional pulpwood market for pre-commercial thinnings, or the presence of sufficient surplus fibre. Particularly relevant in regions near active pulpwood mills.</w:t>
      </w:r>
    </w:p>
    <w:p>
      <w:pPr>
        <w:spacing w:before="120" w:after="80"/>
      </w:pPr>
      <w:r>
        <w:rPr>
          <w:b/>
          <w:i w:val="0"/>
          <w:color w:val="003366"/>
          <w:sz w:val="24"/>
        </w:rPr>
        <w:t>2.9  Carbon Stocks and Sink Levels (RSB-GUI-01-013-01 §3.5)</w:t>
      </w:r>
    </w:p>
    <w:p>
      <w:pPr>
        <w:spacing w:before="40" w:after="80"/>
      </w:pPr>
      <w:r>
        <w:rPr>
          <w:b w:val="0"/>
          <w:i w:val="0"/>
          <w:sz w:val="20"/>
        </w:rPr>
        <w:t>The document states that the country of origin must satisfy one of three conditions:</w:t>
      </w:r>
    </w:p>
    <w:p>
      <w:pPr>
        <w:pStyle w:val="ListBullet"/>
        <w:spacing w:after="40"/>
        <w:ind w:left="227"/>
      </w:pPr>
      <w:r>
        <w:rPr>
          <w:b w:val="0"/>
          <w:i/>
          <w:sz w:val="20"/>
        </w:rPr>
        <w:t>"a) is a Party to the Paris Agreement; and b) has submitted a nationally determined contribution (NDC) to the United Nations Framework Convention on Climate Change (UNFCCC), covering emissions and removals from agriculture, forestry and land use which ensures that changes in carbon stock associated with biomass harvest are accounted towards the country's commitment to reduce or limit greenhouse gas emissions as specified in the NDC; or"</w:t>
      </w:r>
    </w:p>
    <w:p>
      <w:pPr>
        <w:pStyle w:val="ListBullet"/>
        <w:spacing w:after="40"/>
        <w:ind w:left="227"/>
      </w:pPr>
      <w:r>
        <w:rPr>
          <w:b w:val="0"/>
          <w:i/>
          <w:sz w:val="20"/>
        </w:rPr>
        <w:t>"c) has national or sub-national laws in place, in accordance with Article 5 of the Paris Agreement, applicable in the area of harvest, to conserve and enhance carbon stocks and sinks, and providing evidence that reported LULUCF-sector emissions do not exceed removals and that forest carbon sinks are maintained or strengthened over a relevant reference period."</w:t>
      </w:r>
    </w:p>
    <w:p>
      <w:pPr>
        <w:spacing w:before="40" w:after="80"/>
      </w:pPr>
      <w:r>
        <w:rPr>
          <w:b w:val="0"/>
          <w:i/>
          <w:sz w:val="20"/>
        </w:rPr>
        <w:t>If neither applies: "the operator shall demonstrate that management systems are in place at forest sourcing area level to ensure that carbon stocks and sinks levels in the forest are maintained, or strengthened over the long term. Such systems should include, at least, information from planning and periodic monitoring of the development of the forest carbon stocks and sinks at the forest sourcing area level."</w:t>
      </w:r>
    </w:p>
    <w:p>
      <w:pPr>
        <w:spacing w:before="40" w:after="80"/>
      </w:pPr>
      <w:r>
        <w:rPr>
          <w:b w:val="0"/>
          <w:i w:val="0"/>
          <w:sz w:val="20"/>
        </w:rPr>
        <w:t>For US-sourced biomass: the US is a Party to the Paris Agreement and has submitted NDCs. Whether current US NDC specifically covers LULUCF must be confirmed at time of certification.</w:t>
      </w:r>
    </w:p>
    <w:p>
      <w:r>
        <w:br w:type="page"/>
      </w:r>
    </w:p>
    <w:p>
      <w:pPr>
        <w:spacing w:before="200" w:after="80"/>
      </w:pPr>
      <w:r>
        <w:rPr>
          <w:b/>
          <w:i w:val="0"/>
          <w:caps/>
          <w:color w:val="003366"/>
          <w:sz w:val="30"/>
        </w:rPr>
        <w:t>PART 3: CHAIN OF CUSTODY</w:t>
      </w:r>
    </w:p>
    <w:p>
      <w:pPr>
        <w:spacing w:before="40" w:after="80"/>
      </w:pPr>
      <w:r>
        <w:rPr>
          <w:b w:val="0"/>
          <w:i w:val="0"/>
          <w:sz w:val="20"/>
        </w:rPr>
        <w:t>Primary source: RSB-STD-01-010 v2.8 Section F and Annex I.</w:t>
      </w:r>
    </w:p>
    <w:p>
      <w:pPr>
        <w:spacing w:before="120" w:after="80"/>
      </w:pPr>
      <w:r>
        <w:rPr>
          <w:b/>
          <w:i w:val="0"/>
          <w:color w:val="003366"/>
          <w:sz w:val="24"/>
        </w:rPr>
        <w:t>3.1  Mass Balance Model</w:t>
      </w:r>
    </w:p>
    <w:p>
      <w:pPr>
        <w:pStyle w:val="ListBullet"/>
        <w:spacing w:after="40"/>
        <w:ind w:left="227"/>
      </w:pPr>
      <w:r>
        <w:rPr>
          <w:b w:val="0"/>
          <w:i w:val="0"/>
          <w:sz w:val="20"/>
        </w:rPr>
        <w:t>Model: Mass Balance Fixed (MB-Fixed).</w:t>
      </w:r>
    </w:p>
    <w:p>
      <w:pPr>
        <w:pStyle w:val="ListBullet"/>
        <w:spacing w:after="40"/>
        <w:ind w:left="227"/>
      </w:pPr>
      <w:r>
        <w:rPr>
          <w:b w:val="0"/>
          <w:i w:val="0"/>
          <w:sz w:val="20"/>
        </w:rPr>
        <w:t>Balancing period: maximum 3 months. Exceeding this is a critical non-conformity.</w:t>
      </w:r>
    </w:p>
    <w:p>
      <w:pPr>
        <w:pStyle w:val="ListBullet"/>
        <w:spacing w:after="40"/>
        <w:ind w:left="227"/>
      </w:pPr>
      <w:r>
        <w:rPr>
          <w:b w:val="0"/>
          <w:i w:val="0"/>
          <w:sz w:val="20"/>
        </w:rPr>
        <w:t>Separate accounts required per product category (bio-oil, SAF, diesel, etc.).</w:t>
      </w:r>
    </w:p>
    <w:p>
      <w:pPr>
        <w:pStyle w:val="ListBullet"/>
        <w:spacing w:after="40"/>
        <w:ind w:left="227"/>
      </w:pPr>
      <w:r>
        <w:rPr>
          <w:b w:val="0"/>
          <w:i w:val="0"/>
          <w:sz w:val="20"/>
        </w:rPr>
        <w:t>No physical co-mingling required — this is a book-entry system.</w:t>
      </w:r>
    </w:p>
    <w:p>
      <w:pPr>
        <w:spacing w:before="40" w:after="80"/>
      </w:pPr>
      <w:r>
        <w:rPr>
          <w:b w:val="0"/>
          <w:i w:val="0"/>
          <w:sz w:val="20"/>
        </w:rPr>
        <w:t>Design recommendation: target 2-month balancing periods to maintain a buffer against the 3-month hard limit.</w:t>
      </w:r>
    </w:p>
    <w:p>
      <w:pPr>
        <w:spacing w:before="120" w:after="80"/>
      </w:pPr>
      <w:r>
        <w:rPr>
          <w:b/>
          <w:i w:val="0"/>
          <w:color w:val="003366"/>
          <w:sz w:val="24"/>
        </w:rPr>
        <w:t>3.2  Book-and-Claim from Blend Point</w:t>
      </w:r>
    </w:p>
    <w:p>
      <w:pPr>
        <w:spacing w:before="40" w:after="80"/>
      </w:pPr>
      <w:r>
        <w:rPr>
          <w:b w:val="0"/>
          <w:i w:val="0"/>
          <w:sz w:val="20"/>
        </w:rPr>
        <w:t>Flexible attribution applies up to the blend point only. From the blend point onward, biogenic sustainability value must be transferred via RSB book-and-claim mechanisms (RSB-STD-01-010 §2.4.5).</w:t>
      </w:r>
    </w:p>
    <w:p>
      <w:pPr>
        <w:spacing w:before="120" w:after="80"/>
      </w:pPr>
      <w:r>
        <w:rPr>
          <w:b/>
          <w:i w:val="0"/>
          <w:color w:val="003366"/>
          <w:sz w:val="24"/>
        </w:rPr>
        <w:t>3.3  Proof of Sustainability (PoS) — All 16 Annex I Fields</w:t>
      </w:r>
    </w:p>
    <w:p>
      <w:pPr>
        <w:pStyle w:val="ListBullet"/>
        <w:spacing w:after="40"/>
        <w:ind w:left="227"/>
      </w:pPr>
      <w:r>
        <w:rPr>
          <w:b w:val="0"/>
          <w:i w:val="0"/>
          <w:sz w:val="20"/>
        </w:rPr>
        <w:t>1.  Date of issue</w:t>
      </w:r>
    </w:p>
    <w:p>
      <w:pPr>
        <w:pStyle w:val="ListBullet"/>
        <w:spacing w:after="40"/>
        <w:ind w:left="227"/>
      </w:pPr>
      <w:r>
        <w:rPr>
          <w:b w:val="0"/>
          <w:i w:val="0"/>
          <w:sz w:val="20"/>
        </w:rPr>
        <w:t>2.  RSB certification number of the issuing operator</w:t>
      </w:r>
    </w:p>
    <w:p>
      <w:pPr>
        <w:pStyle w:val="ListBullet"/>
        <w:spacing w:after="40"/>
        <w:ind w:left="227"/>
      </w:pPr>
      <w:r>
        <w:rPr>
          <w:b w:val="0"/>
          <w:i w:val="0"/>
          <w:sz w:val="20"/>
        </w:rPr>
        <w:t>3.  Name and address of the issuing operator</w:t>
      </w:r>
    </w:p>
    <w:p>
      <w:pPr>
        <w:pStyle w:val="ListBullet"/>
        <w:spacing w:after="40"/>
        <w:ind w:left="227"/>
      </w:pPr>
      <w:r>
        <w:rPr>
          <w:b w:val="0"/>
          <w:i w:val="0"/>
          <w:sz w:val="20"/>
        </w:rPr>
        <w:t>4.  Name and address of the receiving operator</w:t>
      </w:r>
    </w:p>
    <w:p>
      <w:pPr>
        <w:pStyle w:val="ListBullet"/>
        <w:spacing w:after="40"/>
        <w:ind w:left="227"/>
      </w:pPr>
      <w:r>
        <w:rPr>
          <w:b w:val="0"/>
          <w:i w:val="0"/>
          <w:sz w:val="20"/>
        </w:rPr>
        <w:t>5.  Product description and product category</w:t>
      </w:r>
    </w:p>
    <w:p>
      <w:pPr>
        <w:pStyle w:val="ListBullet"/>
        <w:spacing w:after="40"/>
        <w:ind w:left="227"/>
      </w:pPr>
      <w:r>
        <w:rPr>
          <w:b w:val="0"/>
          <w:i w:val="0"/>
          <w:sz w:val="20"/>
        </w:rPr>
        <w:t>6.  Net quantity of product (volume or weight with unit specified)</w:t>
      </w:r>
    </w:p>
    <w:p>
      <w:pPr>
        <w:pStyle w:val="ListBullet"/>
        <w:spacing w:after="40"/>
        <w:ind w:left="227"/>
      </w:pPr>
      <w:r>
        <w:rPr>
          <w:b w:val="0"/>
          <w:i w:val="0"/>
          <w:sz w:val="20"/>
        </w:rPr>
        <w:t>7.  RSB product category code</w:t>
      </w:r>
    </w:p>
    <w:p>
      <w:pPr>
        <w:pStyle w:val="ListBullet"/>
        <w:spacing w:after="40"/>
        <w:ind w:left="227"/>
      </w:pPr>
      <w:r>
        <w:rPr>
          <w:b w:val="0"/>
          <w:i w:val="0"/>
          <w:sz w:val="20"/>
        </w:rPr>
        <w:t>8.  RSB claims applicable to the product</w:t>
      </w:r>
    </w:p>
    <w:p>
      <w:pPr>
        <w:pStyle w:val="ListBullet"/>
        <w:spacing w:after="40"/>
        <w:ind w:left="227"/>
      </w:pPr>
      <w:r>
        <w:rPr>
          <w:b w:val="0"/>
          <w:i w:val="0"/>
          <w:sz w:val="20"/>
        </w:rPr>
        <w:t>9.  Statement on compliance with applicable sustainability criteria</w:t>
      </w:r>
    </w:p>
    <w:p>
      <w:pPr>
        <w:pStyle w:val="ListBullet"/>
        <w:spacing w:after="40"/>
        <w:ind w:left="227"/>
      </w:pPr>
      <w:r>
        <w:rPr>
          <w:b w:val="0"/>
          <w:i w:val="0"/>
          <w:sz w:val="20"/>
        </w:rPr>
        <w:t>10.  For biogenic materials: land use status at the time of conversion</w:t>
      </w:r>
    </w:p>
    <w:p>
      <w:pPr>
        <w:pStyle w:val="ListBullet"/>
        <w:spacing w:after="40"/>
        <w:ind w:left="227"/>
      </w:pPr>
      <w:r>
        <w:rPr>
          <w:b w:val="0"/>
          <w:i w:val="0"/>
          <w:sz w:val="20"/>
        </w:rPr>
        <w:t>11.  Country of origin of the primary feedstock</w:t>
      </w:r>
    </w:p>
    <w:p>
      <w:pPr>
        <w:pStyle w:val="ListBullet"/>
        <w:spacing w:after="40"/>
        <w:ind w:left="227"/>
      </w:pPr>
      <w:r>
        <w:rPr>
          <w:b w:val="0"/>
          <w:i w:val="0"/>
          <w:sz w:val="20"/>
        </w:rPr>
        <w:t>12.  For Advanced Biofuels: feedstock type and production pathway</w:t>
      </w:r>
    </w:p>
    <w:p>
      <w:pPr>
        <w:pStyle w:val="ListBullet"/>
        <w:spacing w:after="40"/>
        <w:ind w:left="227"/>
      </w:pPr>
      <w:r>
        <w:rPr>
          <w:b w:val="0"/>
          <w:i w:val="0"/>
          <w:sz w:val="20"/>
        </w:rPr>
        <w:t>13.  Mass balance period and balancing period start/end dates</w:t>
      </w:r>
    </w:p>
    <w:p>
      <w:pPr>
        <w:pStyle w:val="ListBullet"/>
        <w:spacing w:after="40"/>
        <w:ind w:left="227"/>
      </w:pPr>
      <w:r>
        <w:rPr>
          <w:b w:val="0"/>
          <w:i w:val="0"/>
          <w:sz w:val="20"/>
        </w:rPr>
        <w:t>14.  Reference to applicable GHG intensity value and/or GHG savings</w:t>
      </w:r>
    </w:p>
    <w:p>
      <w:pPr>
        <w:pStyle w:val="ListBullet"/>
        <w:spacing w:after="40"/>
        <w:ind w:left="227"/>
      </w:pPr>
      <w:r>
        <w:rPr>
          <w:b w:val="0"/>
          <w:i w:val="0"/>
          <w:sz w:val="20"/>
        </w:rPr>
        <w:t>15.  Serial number of the PoS</w:t>
      </w:r>
    </w:p>
    <w:p>
      <w:pPr>
        <w:pStyle w:val="ListBullet"/>
        <w:spacing w:after="40"/>
        <w:ind w:left="227"/>
      </w:pPr>
      <w:r>
        <w:rPr>
          <w:b w:val="0"/>
          <w:i w:val="0"/>
          <w:sz w:val="20"/>
        </w:rPr>
        <w:t>16.  Digital signature or other authentication method</w:t>
      </w:r>
    </w:p>
    <w:p>
      <w:pPr>
        <w:spacing w:before="120" w:after="80"/>
      </w:pPr>
      <w:r>
        <w:rPr>
          <w:b/>
          <w:i w:val="0"/>
          <w:color w:val="003366"/>
          <w:sz w:val="24"/>
        </w:rPr>
        <w:t>3.4  Records Requirements (STD-01-010 §F.1.6.2)</w:t>
      </w:r>
    </w:p>
    <w:p>
      <w:pPr>
        <w:spacing w:before="40" w:after="80"/>
      </w:pPr>
      <w:r>
        <w:rPr>
          <w:b w:val="0"/>
          <w:i w:val="0"/>
          <w:sz w:val="20"/>
        </w:rPr>
        <w:t>Records must enable an auditor to:</w:t>
      </w:r>
    </w:p>
    <w:p>
      <w:pPr>
        <w:pStyle w:val="ListBullet"/>
        <w:spacing w:after="40"/>
        <w:ind w:left="227"/>
      </w:pPr>
      <w:r>
        <w:rPr>
          <w:b w:val="0"/>
          <w:i w:val="0"/>
          <w:sz w:val="20"/>
        </w:rPr>
        <w:t>Trace each batch from receipt through processing to dispatch</w:t>
      </w:r>
    </w:p>
    <w:p>
      <w:pPr>
        <w:pStyle w:val="ListBullet"/>
        <w:spacing w:after="40"/>
        <w:ind w:left="227"/>
      </w:pPr>
      <w:r>
        <w:rPr>
          <w:b w:val="0"/>
          <w:i w:val="0"/>
          <w:sz w:val="20"/>
        </w:rPr>
        <w:t>Verify mass balance accounts are accurate and within allowable periods</w:t>
      </w:r>
    </w:p>
    <w:p>
      <w:pPr>
        <w:pStyle w:val="ListBullet"/>
        <w:spacing w:after="40"/>
        <w:ind w:left="227"/>
      </w:pPr>
      <w:r>
        <w:rPr>
          <w:b w:val="0"/>
          <w:i w:val="0"/>
          <w:sz w:val="20"/>
        </w:rPr>
        <w:t>Confirm all PoS documents accurately reflect certified batches</w:t>
      </w:r>
    </w:p>
    <w:p>
      <w:pPr>
        <w:pStyle w:val="ListBullet"/>
        <w:spacing w:after="40"/>
        <w:ind w:left="227"/>
      </w:pPr>
      <w:r>
        <w:rPr>
          <w:b w:val="0"/>
          <w:i w:val="0"/>
          <w:sz w:val="20"/>
        </w:rPr>
        <w:t>Verify GHG intensity calculations for each batch or period</w:t>
      </w:r>
    </w:p>
    <w:p>
      <w:pPr>
        <w:spacing w:before="40" w:after="80"/>
      </w:pPr>
      <w:r>
        <w:rPr>
          <w:b w:val="0"/>
          <w:i w:val="0"/>
          <w:sz w:val="20"/>
        </w:rPr>
        <w:t>Minimum retention period: per certification body requirements (typically 5 years).</w:t>
      </w:r>
    </w:p>
    <w:p>
      <w:r>
        <w:br w:type="page"/>
      </w:r>
    </w:p>
    <w:p>
      <w:pPr>
        <w:spacing w:before="200" w:after="80"/>
      </w:pPr>
      <w:r>
        <w:rPr>
          <w:b/>
          <w:i w:val="0"/>
          <w:caps/>
          <w:color w:val="003366"/>
          <w:sz w:val="30"/>
        </w:rPr>
        <w:t>PART 4: GHG CALCULATION FRAMEWORK</w:t>
      </w:r>
    </w:p>
    <w:p>
      <w:pPr>
        <w:spacing w:before="40" w:after="80"/>
      </w:pPr>
      <w:r>
        <w:rPr>
          <w:b w:val="0"/>
          <w:i/>
          <w:color w:val="CC6600"/>
          <w:sz w:val="18"/>
        </w:rPr>
        <w:t>Primary sources: RSB-STD-01-003-01 v3.2; RSB-GUI-PG-2025-02 (Co-Processing GHG Guidance, January 2025). See OCI-2 for scope applicability of GUI-PG-2025-02 to RSB Global pathway.</w:t>
      </w:r>
    </w:p>
    <w:p>
      <w:pPr>
        <w:spacing w:before="120" w:after="80"/>
      </w:pPr>
      <w:r>
        <w:rPr>
          <w:b/>
          <w:i w:val="0"/>
          <w:color w:val="003366"/>
          <w:sz w:val="24"/>
        </w:rPr>
        <w:t>4.1  Core Formula</w:t>
      </w:r>
    </w:p>
    <w:p>
      <w:pPr>
        <w:spacing w:before="40" w:after="80"/>
      </w:pPr>
      <w:r>
        <w:rPr>
          <w:b w:val="0"/>
          <w:i/>
          <w:sz w:val="18"/>
        </w:rPr>
        <w:t>RSB-STD-01-003-01 v3.2 §B.1:</w:t>
      </w:r>
    </w:p>
    <w:p>
      <w:pPr>
        <w:spacing w:before="40" w:after="80"/>
      </w:pPr>
      <w:r>
        <w:rPr>
          <w:b/>
          <w:i w:val="0"/>
          <w:sz w:val="24"/>
        </w:rPr>
        <w:t>E_biofuel = e_upstream + e_processing + e_transport + e_fuel_in_use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Component</w:t>
            </w:r>
          </w:p>
        </w:tc>
        <w:tc>
          <w:tcPr>
            <w:tcW w:type="dxa" w:w="3120"/>
            <w:shd w:val="clear" w:color="auto" w:fill="003366"/>
          </w:tcPr>
          <w:p>
            <w:r>
              <w:rPr>
                <w:b/>
                <w:i w:val="0"/>
                <w:color w:val="FFFFFF"/>
                <w:sz w:val="20"/>
              </w:rPr>
              <w:t>Definition</w:t>
            </w:r>
          </w:p>
        </w:tc>
        <w:tc>
          <w:tcPr>
            <w:tcW w:type="dxa" w:w="3120"/>
            <w:shd w:val="clear" w:color="auto" w:fill="003366"/>
          </w:tcPr>
          <w:p>
            <w:r>
              <w:rPr>
                <w:b/>
                <w:i w:val="0"/>
                <w:color w:val="FFFFFF"/>
                <w:sz w:val="20"/>
              </w:rPr>
              <w:t>Charm's Data Source</w:t>
            </w:r>
          </w:p>
        </w:tc>
      </w:tr>
      <w:tr>
        <w:tc>
          <w:tcPr>
            <w:tcW w:type="dxa" w:w="3120"/>
          </w:tcPr>
          <w:p>
            <w:r>
              <w:rPr>
                <w:b w:val="0"/>
                <w:i w:val="0"/>
                <w:sz w:val="18"/>
              </w:rPr>
              <w:t>e_upstream</w:t>
            </w:r>
          </w:p>
        </w:tc>
        <w:tc>
          <w:tcPr>
            <w:tcW w:type="dxa" w:w="3120"/>
          </w:tcPr>
          <w:p>
            <w:r>
              <w:rPr>
                <w:b w:val="0"/>
                <w:i w:val="0"/>
                <w:sz w:val="18"/>
              </w:rPr>
              <w:t>Extraction and transport of raw materials to conversion facility</w:t>
            </w:r>
          </w:p>
        </w:tc>
        <w:tc>
          <w:tcPr>
            <w:tcW w:type="dxa" w:w="3120"/>
          </w:tcPr>
          <w:p>
            <w:r>
              <w:rPr>
                <w:b w:val="0"/>
                <w:i w:val="0"/>
                <w:sz w:val="18"/>
              </w:rPr>
              <w:t>GHG intensity = 0 at collection point per §3.3. Transport from forest to Charm facility: distance × mode × emission factor.</w:t>
            </w:r>
          </w:p>
        </w:tc>
      </w:tr>
      <w:tr>
        <w:tc>
          <w:tcPr>
            <w:tcW w:type="dxa" w:w="3120"/>
          </w:tcPr>
          <w:p>
            <w:r>
              <w:rPr>
                <w:b w:val="0"/>
                <w:i w:val="0"/>
                <w:sz w:val="18"/>
              </w:rPr>
              <w:t>e_processing</w:t>
            </w:r>
          </w:p>
        </w:tc>
        <w:tc>
          <w:tcPr>
            <w:tcW w:type="dxa" w:w="3120"/>
          </w:tcPr>
          <w:p>
            <w:r>
              <w:rPr>
                <w:b w:val="0"/>
                <w:i w:val="0"/>
                <w:sz w:val="18"/>
              </w:rPr>
              <w:t>Emissions from conversion (pyrolysis at Charm + refinery co-processing)</w:t>
            </w:r>
          </w:p>
        </w:tc>
        <w:tc>
          <w:tcPr>
            <w:tcW w:type="dxa" w:w="3120"/>
          </w:tcPr>
          <w:p>
            <w:r>
              <w:rPr>
                <w:b w:val="0"/>
                <w:i w:val="0"/>
                <w:sz w:val="18"/>
              </w:rPr>
              <w:t>Pyrolysis: Charm energy inputs (electricity, heat, fuel) + bio-oil yield + co-product allocation. Co-processing at refinery: see §4.2–4.3 below.</w:t>
            </w:r>
          </w:p>
        </w:tc>
      </w:tr>
      <w:tr>
        <w:tc>
          <w:tcPr>
            <w:tcW w:type="dxa" w:w="3120"/>
          </w:tcPr>
          <w:p>
            <w:r>
              <w:rPr>
                <w:b w:val="0"/>
                <w:i w:val="0"/>
                <w:sz w:val="18"/>
              </w:rPr>
              <w:t>e_transport</w:t>
            </w:r>
          </w:p>
        </w:tc>
        <w:tc>
          <w:tcPr>
            <w:tcW w:type="dxa" w:w="3120"/>
          </w:tcPr>
          <w:p>
            <w:r>
              <w:rPr>
                <w:b w:val="0"/>
                <w:i w:val="0"/>
                <w:sz w:val="18"/>
              </w:rPr>
              <w:t>Transport from production facility to end user</w:t>
            </w:r>
          </w:p>
        </w:tc>
        <w:tc>
          <w:tcPr>
            <w:tcW w:type="dxa" w:w="3120"/>
          </w:tcPr>
          <w:p>
            <w:r>
              <w:rPr>
                <w:b w:val="0"/>
                <w:i w:val="0"/>
                <w:sz w:val="18"/>
              </w:rPr>
              <w:t>Bio-oil Charm → refinery + product refinery → distribution. Specific data or RED II disaggregated defaults.</w:t>
            </w:r>
          </w:p>
        </w:tc>
      </w:tr>
      <w:tr>
        <w:tc>
          <w:tcPr>
            <w:tcW w:type="dxa" w:w="3120"/>
          </w:tcPr>
          <w:p>
            <w:r>
              <w:rPr>
                <w:b w:val="0"/>
                <w:i w:val="0"/>
                <w:sz w:val="18"/>
              </w:rPr>
              <w:t>e_fuel_in_use</w:t>
            </w:r>
          </w:p>
        </w:tc>
        <w:tc>
          <w:tcPr>
            <w:tcW w:type="dxa" w:w="3120"/>
          </w:tcPr>
          <w:p>
            <w:r>
              <w:rPr>
                <w:b w:val="0"/>
                <w:i w:val="0"/>
                <w:sz w:val="18"/>
              </w:rPr>
              <w:t>Combustion emissions of final fuel product</w:t>
            </w:r>
          </w:p>
        </w:tc>
        <w:tc>
          <w:tcPr>
            <w:tcW w:type="dxa" w:w="3120"/>
          </w:tcPr>
          <w:p>
            <w:r>
              <w:rPr>
                <w:b w:val="0"/>
                <w:i w:val="0"/>
                <w:sz w:val="18"/>
              </w:rPr>
              <w:t>RED II Annex V emission factor for fuel type (RSB-GUI-PG-2025-02 §6.1).</w:t>
            </w:r>
          </w:p>
        </w:tc>
      </w:tr>
    </w:tbl>
    <w:p>
      <w:pPr>
        <w:spacing w:before="120" w:after="80"/>
      </w:pPr>
      <w:r>
        <w:rPr>
          <w:b/>
          <w:i w:val="0"/>
          <w:color w:val="003366"/>
          <w:sz w:val="24"/>
        </w:rPr>
        <w:t>4.2  Co-Processing: Six-Step Methodology (RSB-GUI-PG-2025-02 §6.1)</w:t>
      </w:r>
    </w:p>
    <w:p>
      <w:pPr>
        <w:spacing w:before="40" w:after="80"/>
      </w:pPr>
      <w:r>
        <w:rPr>
          <w:b w:val="0"/>
          <w:i/>
          <w:color w:val="CC6600"/>
          <w:sz w:val="18"/>
        </w:rPr>
        <w:t>RSB-GUI-PG-2025-02 describes a virtual split approach: calculate emissions with fossil-only operation, then with bio-oil included, and attribute the difference to the biofuel. Scope caveat: see OCI-2.</w:t>
      </w:r>
    </w:p>
    <w:p>
      <w:pPr>
        <w:spacing w:after="40"/>
      </w:pPr>
      <w:r>
        <w:rPr>
          <w:b/>
          <w:i w:val="0"/>
          <w:sz w:val="20"/>
        </w:rPr>
        <w:t xml:space="preserve">Step 1: Establish baseline scenario — </w:t>
      </w:r>
      <w:r>
        <w:rPr>
          <w:b w:val="0"/>
          <w:i w:val="0"/>
          <w:sz w:val="20"/>
        </w:rPr>
        <w:t>Model the refinery operating with fossil feedstock only. Calculate total GHG emissions (E_total_fossil).</w:t>
      </w:r>
    </w:p>
    <w:p>
      <w:pPr>
        <w:spacing w:after="40"/>
      </w:pPr>
      <w:r>
        <w:rPr>
          <w:b/>
          <w:i w:val="0"/>
          <w:sz w:val="20"/>
        </w:rPr>
        <w:t xml:space="preserve">Step 2: Introduce biogenic feedstock scenario — </w:t>
      </w:r>
      <w:r>
        <w:rPr>
          <w:b w:val="0"/>
          <w:i w:val="0"/>
          <w:sz w:val="20"/>
        </w:rPr>
        <w:t>Model the refinery with Charm's bio-oil replacing a portion of fossil feedstock. Calculate total GHG emissions (E_total_bio).</w:t>
      </w:r>
    </w:p>
    <w:p>
      <w:pPr>
        <w:spacing w:after="40"/>
      </w:pPr>
      <w:r>
        <w:rPr>
          <w:b/>
          <w:i w:val="0"/>
          <w:sz w:val="20"/>
        </w:rPr>
        <w:t xml:space="preserve">Step 3: Attribute GHG emissions to biofuel — </w:t>
      </w:r>
      <w:r>
        <w:rPr>
          <w:b w:val="0"/>
          <w:i w:val="0"/>
          <w:sz w:val="20"/>
        </w:rPr>
        <w:t>Apply the processing emissions formula (§4.3 below) to allocate processing emissions to the bio-oil-derived fuel.</w:t>
      </w:r>
    </w:p>
    <w:p>
      <w:pPr>
        <w:spacing w:after="40"/>
      </w:pPr>
      <w:r>
        <w:rPr>
          <w:b/>
          <w:i w:val="0"/>
          <w:sz w:val="20"/>
        </w:rPr>
        <w:t xml:space="preserve">Step 4: Adjust for counterfactual emissions — </w:t>
      </w:r>
      <w:r>
        <w:rPr>
          <w:b w:val="0"/>
          <w:i w:val="0"/>
          <w:sz w:val="20"/>
        </w:rPr>
        <w:t>Determine emissions that would have resulted from the biomass if not used as biofuel (e.g., decomposition in forest) and adjust.</w:t>
      </w:r>
    </w:p>
    <w:p>
      <w:pPr>
        <w:spacing w:after="40"/>
      </w:pPr>
      <w:r>
        <w:rPr>
          <w:b/>
          <w:i w:val="0"/>
          <w:sz w:val="20"/>
        </w:rPr>
        <w:t xml:space="preserve">Step 5: Incorporate transport and distribution — </w:t>
      </w:r>
      <w:r>
        <w:rPr>
          <w:b w:val="0"/>
          <w:i w:val="0"/>
          <w:sz w:val="20"/>
        </w:rPr>
        <w:t>Add e_upstream (collection → Charm), bio-oil transport to refinery, and product transport from refinery.</w:t>
      </w:r>
    </w:p>
    <w:p>
      <w:pPr>
        <w:spacing w:after="40"/>
      </w:pPr>
      <w:r>
        <w:rPr>
          <w:b/>
          <w:i w:val="0"/>
          <w:sz w:val="20"/>
        </w:rPr>
        <w:t xml:space="preserve">Step 6: Include fuel use emissions — </w:t>
      </w:r>
      <w:r>
        <w:rPr>
          <w:b w:val="0"/>
          <w:i w:val="0"/>
          <w:sz w:val="20"/>
        </w:rPr>
        <w:t>Add combustion CO₂ for final fuel product using RED II Annex V factors.</w:t>
      </w:r>
    </w:p>
    <w:p>
      <w:pPr>
        <w:spacing w:before="120" w:after="80"/>
      </w:pPr>
      <w:r>
        <w:rPr>
          <w:b/>
          <w:i w:val="0"/>
          <w:color w:val="003366"/>
          <w:sz w:val="24"/>
        </w:rPr>
        <w:t>4.3  Processing Emissions Formula (RSB-GUI-PG-2025-02 §6.1)</w:t>
      </w:r>
    </w:p>
    <w:p>
      <w:pPr>
        <w:spacing w:before="40" w:after="80"/>
      </w:pPr>
      <w:r>
        <w:rPr>
          <w:b/>
          <w:i w:val="0"/>
          <w:sz w:val="24"/>
        </w:rPr>
        <w:t>e_processing = (E_total_process × F_bio) / (F_bio + F_fossil) + e_additional</w:t>
      </w:r>
    </w:p>
    <w:p>
      <w:pPr>
        <w:spacing w:before="40" w:after="80"/>
      </w:pPr>
      <w:r>
        <w:rPr>
          <w:b w:val="0"/>
          <w:i w:val="0"/>
          <w:sz w:val="20"/>
        </w:rPr>
        <w:t>Where:</w:t>
      </w:r>
    </w:p>
    <w:p>
      <w:pPr>
        <w:pStyle w:val="ListBullet"/>
        <w:spacing w:after="40"/>
        <w:ind w:left="227"/>
      </w:pPr>
      <w:r>
        <w:rPr>
          <w:b w:val="0"/>
          <w:i w:val="0"/>
          <w:sz w:val="20"/>
        </w:rPr>
        <w:t>E_total_process = total GHG emissions from the refinery processing step</w:t>
      </w:r>
    </w:p>
    <w:p>
      <w:pPr>
        <w:pStyle w:val="ListBullet"/>
        <w:spacing w:after="40"/>
        <w:ind w:left="227"/>
      </w:pPr>
      <w:r>
        <w:rPr>
          <w:b w:val="0"/>
          <w:i w:val="0"/>
          <w:sz w:val="20"/>
        </w:rPr>
        <w:t>F_bio = mass of biogenic feedstock (Charm bio-oil)</w:t>
      </w:r>
    </w:p>
    <w:p>
      <w:pPr>
        <w:pStyle w:val="ListBullet"/>
        <w:spacing w:after="40"/>
        <w:ind w:left="227"/>
      </w:pPr>
      <w:r>
        <w:rPr>
          <w:b w:val="0"/>
          <w:i w:val="0"/>
          <w:sz w:val="20"/>
        </w:rPr>
        <w:t>F_fossil = mass of fossil feedstock</w:t>
      </w:r>
    </w:p>
    <w:p>
      <w:pPr>
        <w:pStyle w:val="ListBullet"/>
        <w:spacing w:after="40"/>
        <w:ind w:left="227"/>
      </w:pPr>
      <w:r>
        <w:rPr>
          <w:b w:val="0"/>
          <w:i/>
          <w:sz w:val="20"/>
        </w:rPr>
        <w:t>e_additional = per RSB-GUI-PG-2025-02 §6.1 exact text: "Additional emissions from energy or reagents (e.g., extra hydrogen or heat, including upstream emissions of those additional inputs) specifically required for biogenic feedstock"</w:t>
      </w:r>
    </w:p>
    <w:p>
      <w:pPr>
        <w:spacing w:before="40" w:after="80"/>
      </w:pPr>
      <w:r>
        <w:rPr>
          <w:b w:val="0"/>
          <w:i w:val="0"/>
          <w:color w:val="CC6600"/>
          <w:sz w:val="20"/>
        </w:rPr>
        <w:t>e_additional captures incremental energy or reagents required specifically because bio-oil is being co-processed, including their upstream (embodied) emissions — not just direct combustion at the refinery.</w:t>
      </w:r>
    </w:p>
    <w:p>
      <w:pPr>
        <w:spacing w:before="120" w:after="80"/>
      </w:pPr>
      <w:r>
        <w:rPr>
          <w:b/>
          <w:i w:val="0"/>
          <w:color w:val="003366"/>
          <w:sz w:val="24"/>
        </w:rPr>
        <w:t>4.4  Flexible Attribution Calculation (STD-01-010 v2.8 Annex IV)</w:t>
      </w:r>
    </w:p>
    <w:p>
      <w:pPr>
        <w:spacing w:before="40" w:after="80"/>
      </w:pPr>
      <w:r>
        <w:rPr>
          <w:b w:val="0"/>
          <w:i/>
          <w:sz w:val="18"/>
        </w:rPr>
        <w:t>The operator's only free choice is which output stream receives the biogenic carbon label (typically SAF). Once designated, all three steps are deterministic.</w:t>
      </w:r>
    </w:p>
    <w:p>
      <w:pPr>
        <w:spacing w:before="120" w:after="80"/>
      </w:pPr>
      <w:r>
        <w:rPr>
          <w:b/>
          <w:i w:val="0"/>
          <w:color w:val="003366"/>
          <w:sz w:val="20"/>
        </w:rPr>
        <w:t>Step 1 — Eligible biogenic carbon at output  [carbon-mass basis]</w:t>
      </w:r>
    </w:p>
    <w:p>
      <w:pPr>
        <w:spacing w:after="80"/>
      </w:pPr>
      <w:r>
        <w:rPr>
          <w:b/>
          <w:i w:val="0"/>
          <w:sz w:val="22"/>
        </w:rPr>
        <w:t>Output</w:t>
      </w:r>
      <w:r>
        <w:rPr>
          <w:b w:val="0"/>
          <w:i w:val="0"/>
          <w:sz w:val="18"/>
        </w:rPr>
        <w:t>eligiblecarbon</w:t>
      </w:r>
      <w:r>
        <w:rPr>
          <w:b/>
          <w:i w:val="0"/>
          <w:sz w:val="22"/>
        </w:rPr>
        <w:t xml:space="preserve">  [t C]  =  m</w:t>
      </w:r>
      <w:r>
        <w:rPr>
          <w:b w:val="0"/>
          <w:i w:val="0"/>
          <w:sz w:val="18"/>
        </w:rPr>
        <w:t>eligible,f</w:t>
      </w:r>
      <w:r>
        <w:rPr>
          <w:b/>
          <w:i w:val="0"/>
          <w:sz w:val="22"/>
        </w:rPr>
        <w:t xml:space="preserve">  [t db]  ×  Carbon content</w:t>
      </w:r>
      <w:r>
        <w:rPr>
          <w:b w:val="0"/>
          <w:i w:val="0"/>
          <w:sz w:val="18"/>
        </w:rPr>
        <w:t>eligible,f</w:t>
      </w:r>
      <w:r>
        <w:rPr>
          <w:b/>
          <w:i w:val="0"/>
          <w:sz w:val="22"/>
        </w:rPr>
        <w:t xml:space="preserve">  (% w/w)  ×  ηCi</w:t>
      </w:r>
    </w:p>
    <w:p>
      <w:pPr>
        <w:pStyle w:val="ListBullet"/>
        <w:spacing w:after="40"/>
        <w:ind w:left="227"/>
      </w:pPr>
      <w:r>
        <w:rPr>
          <w:b w:val="0"/>
          <w:i w:val="0"/>
          <w:sz w:val="20"/>
        </w:rPr>
        <w:t>m eligible,f  =  mass of bio-oil feedstock, dry basis (tonnes)</w:t>
      </w:r>
    </w:p>
    <w:p>
      <w:pPr>
        <w:pStyle w:val="ListBullet"/>
        <w:spacing w:after="40"/>
        <w:ind w:left="227"/>
      </w:pPr>
      <w:r>
        <w:rPr>
          <w:b w:val="0"/>
          <w:i w:val="0"/>
          <w:sz w:val="20"/>
        </w:rPr>
        <w:t>Carbon content  =  carbon content of bio-oil (% w/w) — from lab analysis per batch</w:t>
      </w:r>
    </w:p>
    <w:p>
      <w:pPr>
        <w:pStyle w:val="ListBullet"/>
        <w:spacing w:after="40"/>
        <w:ind w:left="227"/>
      </w:pPr>
      <w:r>
        <w:rPr>
          <w:b w:val="0"/>
          <w:i w:val="0"/>
          <w:sz w:val="20"/>
        </w:rPr>
        <w:t>ηCi  =  carbon conversion efficiency: fraction of input carbon that exits as fuel carbon (not lost to CO₂, char, or non-fuel streams); measured annually</w:t>
      </w:r>
    </w:p>
    <w:p>
      <w:pPr>
        <w:spacing w:before="40" w:after="120"/>
      </w:pPr>
      <w:r>
        <w:rPr>
          <w:b w:val="0"/>
          <w:i/>
          <w:color w:val="006B3C"/>
          <w:sz w:val="20"/>
        </w:rPr>
        <w:t>For Charm: bio-oil dry mass × measured carbon content × annual ηCi = eligible biogenic carbon pool available for attribution.</w:t>
      </w:r>
    </w:p>
    <w:p>
      <w:pPr>
        <w:spacing w:before="120" w:after="80"/>
      </w:pPr>
      <w:r>
        <w:rPr>
          <w:b/>
          <w:i w:val="0"/>
          <w:color w:val="003366"/>
          <w:sz w:val="20"/>
        </w:rPr>
        <w:t>Step 2 — Total supply of advanced fuel  [carbon-mass basis]</w:t>
      </w:r>
    </w:p>
    <w:p>
      <w:pPr>
        <w:spacing w:after="80"/>
      </w:pPr>
      <w:r>
        <w:rPr>
          <w:b/>
          <w:i w:val="0"/>
          <w:sz w:val="22"/>
        </w:rPr>
        <w:t>TS</w:t>
      </w:r>
      <w:r>
        <w:rPr>
          <w:b w:val="0"/>
          <w:i w:val="0"/>
          <w:sz w:val="18"/>
        </w:rPr>
        <w:t>adv,fuel</w:t>
      </w:r>
      <w:r>
        <w:rPr>
          <w:b/>
          <w:i w:val="0"/>
          <w:sz w:val="22"/>
        </w:rPr>
        <w:t xml:space="preserve">  [t fuel]  =  Output</w:t>
      </w:r>
      <w:r>
        <w:rPr>
          <w:b w:val="0"/>
          <w:i w:val="0"/>
          <w:sz w:val="18"/>
        </w:rPr>
        <w:t>eligiblecarbon</w:t>
      </w:r>
      <w:r>
        <w:rPr>
          <w:b/>
          <w:i w:val="0"/>
          <w:sz w:val="22"/>
        </w:rPr>
        <w:t xml:space="preserve">  [t C]  ×  Output_Carbon</w:t>
      </w:r>
      <w:r>
        <w:rPr>
          <w:b w:val="0"/>
          <w:i w:val="0"/>
          <w:sz w:val="18"/>
        </w:rPr>
        <w:t>content</w:t>
      </w:r>
      <w:r>
        <w:rPr>
          <w:b/>
          <w:i w:val="0"/>
          <w:sz w:val="22"/>
        </w:rPr>
        <w:t xml:space="preserve">  [t fuel(db) / t C]</w:t>
      </w:r>
    </w:p>
    <w:p>
      <w:pPr>
        <w:pStyle w:val="ListBullet"/>
        <w:spacing w:after="40"/>
        <w:ind w:left="227"/>
      </w:pPr>
      <w:r>
        <w:rPr>
          <w:b w:val="0"/>
          <w:i w:val="0"/>
          <w:sz w:val="20"/>
        </w:rPr>
        <w:t>Output_Carboncontent  =  1 ÷ (carbon fraction of target fuel)</w:t>
      </w:r>
    </w:p>
    <w:p>
      <w:pPr>
        <w:pStyle w:val="ListBullet"/>
        <w:spacing w:after="40"/>
        <w:ind w:left="227"/>
      </w:pPr>
      <w:r>
        <w:rPr>
          <w:b w:val="0"/>
          <w:i w:val="0"/>
          <w:sz w:val="20"/>
        </w:rPr>
        <w:t>Jet fuel example  (~88% C):  1 ÷ 0.88  =  1.136 t fuel per t C</w:t>
      </w:r>
    </w:p>
    <w:p>
      <w:pPr>
        <w:pStyle w:val="ListBullet"/>
        <w:spacing w:after="40"/>
        <w:ind w:left="227"/>
      </w:pPr>
      <w:r>
        <w:rPr>
          <w:b w:val="0"/>
          <w:i w:val="0"/>
          <w:sz w:val="20"/>
        </w:rPr>
        <w:t>If attributing to more than one product: define the portion of Output eligiblecarbon directed to each product before applying this formula</w:t>
      </w:r>
    </w:p>
    <w:p>
      <w:pPr>
        <w:spacing w:before="40" w:after="120"/>
      </w:pPr>
      <w:r>
        <w:rPr>
          <w:b w:val="0"/>
          <w:i/>
          <w:color w:val="006B3C"/>
          <w:sz w:val="20"/>
        </w:rPr>
        <w:t>For Charm: directing all eligible carbon to SAF gives maximum advanced fuel volume from the biogenic pool.</w:t>
      </w:r>
    </w:p>
    <w:p>
      <w:pPr>
        <w:spacing w:before="120" w:after="80"/>
      </w:pPr>
      <w:r>
        <w:rPr>
          <w:b/>
          <w:i w:val="0"/>
          <w:color w:val="003366"/>
          <w:sz w:val="20"/>
        </w:rPr>
        <w:t>Step 3 — GHG intensity of designated fuel  [energy basis for allocation]</w:t>
      </w:r>
    </w:p>
    <w:p>
      <w:pPr>
        <w:spacing w:after="40"/>
      </w:pPr>
      <w:r>
        <w:rPr>
          <w:b/>
          <w:i w:val="0"/>
          <w:sz w:val="22"/>
        </w:rPr>
        <w:t>AF  =  LHV</w:t>
      </w:r>
      <w:r>
        <w:rPr>
          <w:b w:val="0"/>
          <w:i w:val="0"/>
          <w:sz w:val="18"/>
        </w:rPr>
        <w:t>af</w:t>
      </w:r>
      <w:r>
        <w:rPr>
          <w:b/>
          <w:i w:val="0"/>
          <w:sz w:val="22"/>
        </w:rPr>
        <w:t xml:space="preserve">  [MJ/t]  ÷  Total energy output of facility  [MJ]</w:t>
      </w:r>
    </w:p>
    <w:p>
      <w:pPr>
        <w:spacing w:after="40"/>
      </w:pPr>
      <w:r>
        <w:rPr>
          <w:b/>
          <w:i w:val="0"/>
          <w:sz w:val="22"/>
        </w:rPr>
        <w:t>WtG  =  ( WtG</w:t>
      </w:r>
      <w:r>
        <w:rPr>
          <w:b w:val="0"/>
          <w:i w:val="0"/>
          <w:sz w:val="18"/>
        </w:rPr>
        <w:t>feedstock</w:t>
      </w:r>
      <w:r>
        <w:rPr>
          <w:b/>
          <w:i w:val="0"/>
          <w:sz w:val="22"/>
        </w:rPr>
        <w:t xml:space="preserve">  +  WtG</w:t>
      </w:r>
      <w:r>
        <w:rPr>
          <w:b w:val="0"/>
          <w:i w:val="0"/>
          <w:sz w:val="18"/>
        </w:rPr>
        <w:t>process inputs</w:t>
      </w:r>
      <w:r>
        <w:rPr>
          <w:b/>
          <w:i w:val="0"/>
          <w:sz w:val="22"/>
        </w:rPr>
        <w:t xml:space="preserve">  ×  AF )  ÷  TS</w:t>
      </w:r>
      <w:r>
        <w:rPr>
          <w:b w:val="0"/>
          <w:i w:val="0"/>
          <w:sz w:val="18"/>
        </w:rPr>
        <w:t>adv,fuel</w:t>
      </w:r>
    </w:p>
    <w:p>
      <w:pPr>
        <w:spacing w:after="40"/>
      </w:pPr>
      <w:r>
        <w:rPr>
          <w:b/>
          <w:i w:val="0"/>
          <w:sz w:val="22"/>
        </w:rPr>
        <w:t>GtG  =  ( GtG</w:t>
      </w:r>
      <w:r>
        <w:rPr>
          <w:b w:val="0"/>
          <w:i w:val="0"/>
          <w:sz w:val="18"/>
        </w:rPr>
        <w:t>total</w:t>
      </w:r>
      <w:r>
        <w:rPr>
          <w:b/>
          <w:i w:val="0"/>
          <w:sz w:val="22"/>
        </w:rPr>
        <w:t xml:space="preserve">  ×  AF )  ÷  TS</w:t>
      </w:r>
      <w:r>
        <w:rPr>
          <w:b w:val="0"/>
          <w:i w:val="0"/>
          <w:sz w:val="18"/>
        </w:rPr>
        <w:t>adv,fuel</w:t>
      </w:r>
    </w:p>
    <w:p>
      <w:pPr>
        <w:spacing w:after="80"/>
      </w:pPr>
      <w:r>
        <w:rPr>
          <w:b/>
          <w:i w:val="0"/>
          <w:sz w:val="22"/>
        </w:rPr>
        <w:t>GHG intensity  [gCO₂e/MJ]  =  ( WtG  +  GtG )  ÷  ( LHV</w:t>
      </w:r>
      <w:r>
        <w:rPr>
          <w:b w:val="0"/>
          <w:i w:val="0"/>
          <w:sz w:val="18"/>
        </w:rPr>
        <w:t>adv,fuel</w:t>
      </w:r>
      <w:r>
        <w:rPr>
          <w:b/>
          <w:i w:val="0"/>
          <w:sz w:val="22"/>
        </w:rPr>
        <w:t xml:space="preserve">  ×  1,000 )</w:t>
      </w:r>
    </w:p>
    <w:p>
      <w:pPr>
        <w:pStyle w:val="ListBullet"/>
        <w:spacing w:after="40"/>
        <w:ind w:left="227"/>
      </w:pPr>
      <w:r>
        <w:rPr>
          <w:b w:val="0"/>
          <w:i w:val="0"/>
          <w:sz w:val="20"/>
        </w:rPr>
        <w:t>AF = Allocation Factor — energy fraction of the designated fuel stream vs. total facility energy output</w:t>
      </w:r>
    </w:p>
    <w:p>
      <w:pPr>
        <w:pStyle w:val="ListBullet"/>
        <w:spacing w:after="40"/>
        <w:ind w:left="227"/>
      </w:pPr>
      <w:r>
        <w:rPr>
          <w:b w:val="0"/>
          <w:i w:val="0"/>
          <w:sz w:val="20"/>
        </w:rPr>
        <w:t>Steps 1–2 use carbon-mass as the denominator; Step 3 uses energy — intentionally different bases</w:t>
      </w:r>
    </w:p>
    <w:p>
      <w:pPr>
        <w:pStyle w:val="ListBullet"/>
        <w:spacing w:after="40"/>
        <w:ind w:left="227"/>
      </w:pPr>
      <w:r>
        <w:rPr>
          <w:b w:val="0"/>
          <w:i w:val="0"/>
          <w:sz w:val="20"/>
        </w:rPr>
        <w:t>Small AF (SAF = small share of refinery total energy) limits GHG burden on SAF — favorable for intensity</w:t>
      </w:r>
    </w:p>
    <w:p>
      <w:pPr>
        <w:spacing w:before="40" w:after="120"/>
      </w:pPr>
      <w:r>
        <w:rPr>
          <w:b w:val="0"/>
          <w:i/>
          <w:color w:val="006B3C"/>
          <w:sz w:val="20"/>
        </w:rPr>
        <w:t>For Charm: high ηCi maximises eligible SAF volume (Steps 1–2). Small AF limits GHG assigned to SAF (Step 3). Both work in Charm's favour in a large fossil refinery co-processing scenario.</w:t>
      </w:r>
    </w:p>
    <w:p>
      <w:pPr>
        <w:spacing w:before="120" w:after="80"/>
      </w:pPr>
      <w:r>
        <w:rPr>
          <w:b/>
          <w:i w:val="0"/>
          <w:color w:val="003366"/>
          <w:sz w:val="24"/>
        </w:rPr>
        <w:t>4.5  Co-Product Allocation (STD-01-003-01 v3.2 §B.9)</w:t>
      </w:r>
    </w:p>
    <w:p>
      <w:pPr>
        <w:spacing w:before="40" w:after="80"/>
      </w:pPr>
      <w:r>
        <w:rPr>
          <w:b w:val="0"/>
          <w:i w:val="0"/>
          <w:sz w:val="20"/>
        </w:rPr>
        <w:t>Acceptable methods:</w:t>
      </w:r>
    </w:p>
    <w:p>
      <w:pPr>
        <w:pStyle w:val="ListBullet"/>
        <w:spacing w:after="40"/>
        <w:ind w:left="227"/>
      </w:pPr>
      <w:r>
        <w:rPr>
          <w:b w:val="0"/>
          <w:i w:val="0"/>
          <w:sz w:val="20"/>
        </w:rPr>
        <w:t>Energy allocation: based on lower heating value (LHV) of each co-product</w:t>
      </w:r>
    </w:p>
    <w:p>
      <w:pPr>
        <w:pStyle w:val="ListBullet"/>
        <w:spacing w:after="40"/>
        <w:ind w:left="227"/>
      </w:pPr>
      <w:r>
        <w:rPr>
          <w:b w:val="0"/>
          <w:i w:val="0"/>
          <w:sz w:val="20"/>
        </w:rPr>
        <w:t>Market value allocation: based on market price of each co-product</w:t>
      </w:r>
    </w:p>
    <w:p>
      <w:pPr>
        <w:pStyle w:val="ListBullet"/>
        <w:spacing w:after="40"/>
        <w:ind w:left="227"/>
      </w:pPr>
      <w:r>
        <w:rPr>
          <w:b w:val="0"/>
          <w:i w:val="0"/>
          <w:sz w:val="20"/>
        </w:rPr>
        <w:t>Co-products not used as fuel and going to waste: allocated zero GHG burden</w:t>
      </w:r>
    </w:p>
    <w:p>
      <w:pPr>
        <w:spacing w:before="40" w:after="80"/>
      </w:pPr>
      <w:r>
        <w:rPr>
          <w:b w:val="0"/>
          <w:i w:val="0"/>
          <w:sz w:val="20"/>
        </w:rPr>
        <w:t>Charm produces biochar as a major co-product. The allocation method (bio-oil vs. biochar) must be documented, consistently applied, and defensible to auditors. This co-product allocation at Charm's pyrolysis step is a separate upstream calculation from the Annex IV flexible attribution at the refinery. Co-product allocation sets the GHG burden assigned to the bio-oil entering the refinery; Annex IV then determines what fraction of that burden attaches to the designated fuel stream. The two calculations run in series.</w:t>
      </w:r>
    </w:p>
    <w:p>
      <w:pPr>
        <w:spacing w:before="120" w:after="80"/>
      </w:pPr>
      <w:r>
        <w:rPr>
          <w:b/>
          <w:i w:val="0"/>
          <w:color w:val="003366"/>
          <w:sz w:val="24"/>
        </w:rPr>
        <w:t>4.6  GHG Savings Threshold (STD-01-003-01 v3.2 Table 2)</w:t>
      </w:r>
    </w:p>
    <w:p>
      <w:pPr>
        <w:pStyle w:val="ListBullet"/>
        <w:spacing w:after="40"/>
        <w:ind w:left="227"/>
      </w:pPr>
      <w:r>
        <w:rPr>
          <w:b w:val="0"/>
          <w:i w:val="0"/>
          <w:sz w:val="20"/>
        </w:rPr>
        <w:t>Fossil comparator for biofuels: 90 g CO₂eq/MJ</w:t>
      </w:r>
    </w:p>
    <w:p>
      <w:pPr>
        <w:pStyle w:val="ListBullet"/>
        <w:spacing w:after="40"/>
        <w:ind w:left="227"/>
      </w:pPr>
      <w:r>
        <w:rPr>
          <w:b w:val="0"/>
          <w:i w:val="0"/>
          <w:sz w:val="20"/>
        </w:rPr>
        <w:t>Minimum GHG savings required: 65% reduction vs. fossil comparator</w:t>
      </w:r>
    </w:p>
    <w:p>
      <w:pPr>
        <w:pStyle w:val="ListBullet"/>
        <w:spacing w:after="40"/>
        <w:ind w:left="227"/>
      </w:pPr>
      <w:r>
        <w:rPr>
          <w:b w:val="0"/>
          <w:i w:val="0"/>
          <w:sz w:val="20"/>
        </w:rPr>
        <w:t>Required threshold: E_biofuel ≤ 31.5 g CO₂eq/MJ (= 90 × (1 − 0.65))</w:t>
      </w:r>
    </w:p>
    <w:p>
      <w:r>
        <w:br w:type="page"/>
      </w:r>
    </w:p>
    <w:p>
      <w:pPr>
        <w:spacing w:before="200" w:after="80"/>
      </w:pPr>
      <w:r>
        <w:rPr>
          <w:b/>
          <w:i w:val="0"/>
          <w:caps/>
          <w:color w:val="003366"/>
          <w:sz w:val="30"/>
        </w:rPr>
        <w:t>PART 5: DATA INPUTS — MEASUREMENT REQUIREMENTS</w:t>
      </w:r>
    </w:p>
    <w:p>
      <w:pPr>
        <w:spacing w:before="40" w:after="80"/>
      </w:pPr>
      <w:r>
        <w:rPr>
          <w:b w:val="0"/>
          <w:i w:val="0"/>
          <w:sz w:val="20"/>
        </w:rPr>
        <w:t>Items marked * require data from the refinery partner and are conditional on OCI-3 resolution.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i w:val="0"/>
                <w:color w:val="FFFFFF"/>
                <w:sz w:val="20"/>
              </w:rPr>
              <w:t>Category</w:t>
            </w:r>
          </w:p>
        </w:tc>
        <w:tc>
          <w:tcPr>
            <w:tcW w:type="dxa" w:w="2340"/>
            <w:shd w:val="clear" w:color="auto" w:fill="003366"/>
          </w:tcPr>
          <w:p>
            <w:r>
              <w:rPr>
                <w:b/>
                <w:i w:val="0"/>
                <w:color w:val="FFFFFF"/>
                <w:sz w:val="20"/>
              </w:rPr>
              <w:t>Data Point</w:t>
            </w:r>
          </w:p>
        </w:tc>
        <w:tc>
          <w:tcPr>
            <w:tcW w:type="dxa" w:w="2340"/>
            <w:shd w:val="clear" w:color="auto" w:fill="003366"/>
          </w:tcPr>
          <w:p>
            <w:r>
              <w:rPr>
                <w:b/>
                <w:i w:val="0"/>
                <w:color w:val="FFFFFF"/>
                <w:sz w:val="20"/>
              </w:rPr>
              <w:t>Method / Source</w:t>
            </w:r>
          </w:p>
        </w:tc>
        <w:tc>
          <w:tcPr>
            <w:tcW w:type="dxa" w:w="2340"/>
            <w:shd w:val="clear" w:color="auto" w:fill="003366"/>
          </w:tcPr>
          <w:p>
            <w:r>
              <w:rPr>
                <w:b/>
                <w:i w:val="0"/>
                <w:color w:val="FFFFFF"/>
                <w:sz w:val="20"/>
              </w:rPr>
              <w:t>☐</w:t>
            </w:r>
          </w:p>
        </w:tc>
      </w:tr>
      <w:tr>
        <w:tc>
          <w:tcPr>
            <w:tcW w:type="dxa" w:w="2340"/>
          </w:tcPr>
          <w:p>
            <w:r>
              <w:rPr>
                <w:b w:val="0"/>
                <w:i w:val="0"/>
                <w:sz w:val="18"/>
              </w:rPr>
              <w:t>Forest sourcing</w:t>
            </w:r>
          </w:p>
        </w:tc>
        <w:tc>
          <w:tcPr>
            <w:tcW w:type="dxa" w:w="2340"/>
          </w:tcPr>
          <w:p>
            <w:r>
              <w:rPr>
                <w:b w:val="0"/>
                <w:i w:val="0"/>
                <w:sz w:val="18"/>
              </w:rPr>
              <w:t>Forest manager RSB/FSC certificate per supplier</w:t>
            </w:r>
          </w:p>
        </w:tc>
        <w:tc>
          <w:tcPr>
            <w:tcW w:type="dxa" w:w="2340"/>
          </w:tcPr>
          <w:p>
            <w:r>
              <w:rPr>
                <w:b w:val="0"/>
                <w:i w:val="0"/>
                <w:sz w:val="18"/>
              </w:rPr>
              <w:t>Collect certificates; confirm currency</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Forest management plan per sourcing area (with soil management section)</w:t>
            </w:r>
          </w:p>
        </w:tc>
        <w:tc>
          <w:tcPr>
            <w:tcW w:type="dxa" w:w="2340"/>
          </w:tcPr>
          <w:p>
            <w:r>
              <w:rPr>
                <w:b w:val="0"/>
                <w:i w:val="0"/>
                <w:sz w:val="18"/>
              </w:rPr>
              <w:t>Obtain from each forest manager; verify §3.2.2 content</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Biomass type documentation (slash/salvage/thinnings)</w:t>
            </w:r>
          </w:p>
        </w:tc>
        <w:tc>
          <w:tcPr>
            <w:tcW w:type="dxa" w:w="2340"/>
          </w:tcPr>
          <w:p>
            <w:r>
              <w:rPr>
                <w:b w:val="0"/>
                <w:i w:val="0"/>
                <w:sz w:val="18"/>
              </w:rPr>
              <w:t>Field records + logging documentation per harvest area</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DBH distribution records for thinnings</w:t>
            </w:r>
          </w:p>
        </w:tc>
        <w:tc>
          <w:tcPr>
            <w:tcW w:type="dxa" w:w="2340"/>
          </w:tcPr>
          <w:p>
            <w:r>
              <w:rPr>
                <w:b w:val="0"/>
                <w:i w:val="0"/>
                <w:sz w:val="18"/>
              </w:rPr>
              <w:t>Field measurement per harvest stand; document species-specific threshold</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Pulpwood market assessment for thinning sourcing areas</w:t>
            </w:r>
          </w:p>
        </w:tc>
        <w:tc>
          <w:tcPr>
            <w:tcW w:type="dxa" w:w="2340"/>
          </w:tcPr>
          <w:p>
            <w:r>
              <w:rPr>
                <w:b w:val="0"/>
                <w:i w:val="0"/>
                <w:sz w:val="18"/>
              </w:rPr>
              <w:t>Regional mill capacity research; document absence of market or surplus fibre</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No-go area clearance mapping per sourcing region</w:t>
            </w:r>
          </w:p>
        </w:tc>
        <w:tc>
          <w:tcPr>
            <w:tcW w:type="dxa" w:w="2340"/>
          </w:tcPr>
          <w:p>
            <w:r>
              <w:rPr>
                <w:b w:val="0"/>
                <w:i w:val="0"/>
                <w:sz w:val="18"/>
              </w:rPr>
              <w:t>GIS overlay: IUCN, Ramsar, UNESCO, Canopy Forest mapper</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Soil sensitivity classification (K, R, LS per site)</w:t>
            </w:r>
          </w:p>
        </w:tc>
        <w:tc>
          <w:tcPr>
            <w:tcW w:type="dxa" w:w="2340"/>
          </w:tcPr>
          <w:p>
            <w:r>
              <w:rPr>
                <w:b w:val="0"/>
                <w:i w:val="0"/>
                <w:sz w:val="18"/>
              </w:rPr>
              <w:t>ESDAC K-factor + GloReDa R-factor + field slope measurements; Low/Medium/High assignment</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CWD volume retention per site (m³)</w:t>
            </w:r>
          </w:p>
        </w:tc>
        <w:tc>
          <w:tcPr>
            <w:tcW w:type="dxa" w:w="2340"/>
          </w:tcPr>
          <w:p>
            <w:r>
              <w:rPr>
                <w:b w:val="0"/>
                <w:i w:val="0"/>
                <w:sz w:val="18"/>
              </w:rPr>
              <w:t>Line intercept method: V = π² Σ(d²/8L) × 10,000; or mass balance approach</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Standing dead wood volume per management unit (m³/ha)</w:t>
            </w:r>
          </w:p>
        </w:tc>
        <w:tc>
          <w:tcPr>
            <w:tcW w:type="dxa" w:w="2340"/>
          </w:tcPr>
          <w:p>
            <w:r>
              <w:rPr>
                <w:b w:val="0"/>
                <w:i w:val="0"/>
                <w:sz w:val="18"/>
              </w:rPr>
              <w:t>Stand inventory; target ≥ 15 m³/ha per Annex 1 Indicator #5</w:t>
            </w:r>
          </w:p>
        </w:tc>
        <w:tc>
          <w:tcPr>
            <w:tcW w:type="dxa" w:w="2340"/>
          </w:tcPr>
          <w:p>
            <w:r>
              <w:rPr>
                <w:b w:val="0"/>
                <w:i w:val="0"/>
                <w:sz w:val="18"/>
              </w:rPr>
            </w:r>
          </w:p>
        </w:tc>
      </w:tr>
      <w:tr>
        <w:tc>
          <w:tcPr>
            <w:tcW w:type="dxa" w:w="2340"/>
          </w:tcPr>
          <w:p>
            <w:r>
              <w:rPr>
                <w:b w:val="0"/>
                <w:i w:val="0"/>
                <w:sz w:val="18"/>
              </w:rPr>
              <w:t>Forest sourcing</w:t>
            </w:r>
          </w:p>
        </w:tc>
        <w:tc>
          <w:tcPr>
            <w:tcW w:type="dxa" w:w="2340"/>
          </w:tcPr>
          <w:p>
            <w:r>
              <w:rPr>
                <w:b w:val="0"/>
                <w:i w:val="0"/>
                <w:sz w:val="18"/>
              </w:rPr>
              <w:t>Country Paris Agreement party + NDC LULUCF coverage</w:t>
            </w:r>
          </w:p>
        </w:tc>
        <w:tc>
          <w:tcPr>
            <w:tcW w:type="dxa" w:w="2340"/>
          </w:tcPr>
          <w:p>
            <w:r>
              <w:rPr>
                <w:b w:val="0"/>
                <w:i w:val="0"/>
                <w:sz w:val="18"/>
              </w:rPr>
              <w:t>UNFCCC NDC registry</w:t>
            </w:r>
          </w:p>
        </w:tc>
        <w:tc>
          <w:tcPr>
            <w:tcW w:type="dxa" w:w="2340"/>
          </w:tcPr>
          <w:p>
            <w:r>
              <w:rPr>
                <w:b w:val="0"/>
                <w:i w:val="0"/>
                <w:sz w:val="18"/>
              </w:rPr>
            </w:r>
          </w:p>
        </w:tc>
      </w:tr>
      <w:tr>
        <w:tc>
          <w:tcPr>
            <w:tcW w:type="dxa" w:w="2340"/>
          </w:tcPr>
          <w:p>
            <w:r>
              <w:rPr>
                <w:b w:val="0"/>
                <w:i w:val="0"/>
                <w:sz w:val="18"/>
              </w:rPr>
              <w:t>Upstream transport</w:t>
            </w:r>
          </w:p>
        </w:tc>
        <w:tc>
          <w:tcPr>
            <w:tcW w:type="dxa" w:w="2340"/>
          </w:tcPr>
          <w:p>
            <w:r>
              <w:rPr>
                <w:b w:val="0"/>
                <w:i w:val="0"/>
                <w:sz w:val="18"/>
              </w:rPr>
              <w:t>Distance: forest to Charm facility (km), per supplier</w:t>
            </w:r>
          </w:p>
        </w:tc>
        <w:tc>
          <w:tcPr>
            <w:tcW w:type="dxa" w:w="2340"/>
          </w:tcPr>
          <w:p>
            <w:r>
              <w:rPr>
                <w:b w:val="0"/>
                <w:i w:val="0"/>
                <w:sz w:val="18"/>
              </w:rPr>
              <w:t>GPS route measurement</w:t>
            </w:r>
          </w:p>
        </w:tc>
        <w:tc>
          <w:tcPr>
            <w:tcW w:type="dxa" w:w="2340"/>
          </w:tcPr>
          <w:p>
            <w:r>
              <w:rPr>
                <w:b w:val="0"/>
                <w:i w:val="0"/>
                <w:sz w:val="18"/>
              </w:rPr>
            </w:r>
          </w:p>
        </w:tc>
      </w:tr>
      <w:tr>
        <w:tc>
          <w:tcPr>
            <w:tcW w:type="dxa" w:w="2340"/>
          </w:tcPr>
          <w:p>
            <w:r>
              <w:rPr>
                <w:b w:val="0"/>
                <w:i w:val="0"/>
                <w:sz w:val="18"/>
              </w:rPr>
              <w:t>Upstream transport</w:t>
            </w:r>
          </w:p>
        </w:tc>
        <w:tc>
          <w:tcPr>
            <w:tcW w:type="dxa" w:w="2340"/>
          </w:tcPr>
          <w:p>
            <w:r>
              <w:rPr>
                <w:b w:val="0"/>
                <w:i w:val="0"/>
                <w:sz w:val="18"/>
              </w:rPr>
              <w:t>Transport mode (truck/rail)</w:t>
            </w:r>
          </w:p>
        </w:tc>
        <w:tc>
          <w:tcPr>
            <w:tcW w:type="dxa" w:w="2340"/>
          </w:tcPr>
          <w:p>
            <w:r>
              <w:rPr>
                <w:b w:val="0"/>
                <w:i w:val="0"/>
                <w:sz w:val="18"/>
              </w:rPr>
              <w:t>Logistics records</w:t>
            </w:r>
          </w:p>
        </w:tc>
        <w:tc>
          <w:tcPr>
            <w:tcW w:type="dxa" w:w="2340"/>
          </w:tcPr>
          <w:p>
            <w:r>
              <w:rPr>
                <w:b w:val="0"/>
                <w:i w:val="0"/>
                <w:sz w:val="18"/>
              </w:rPr>
            </w:r>
          </w:p>
        </w:tc>
      </w:tr>
      <w:tr>
        <w:tc>
          <w:tcPr>
            <w:tcW w:type="dxa" w:w="2340"/>
          </w:tcPr>
          <w:p>
            <w:r>
              <w:rPr>
                <w:b w:val="0"/>
                <w:i w:val="0"/>
                <w:sz w:val="18"/>
              </w:rPr>
              <w:t>Upstream transport</w:t>
            </w:r>
          </w:p>
        </w:tc>
        <w:tc>
          <w:tcPr>
            <w:tcW w:type="dxa" w:w="2340"/>
          </w:tcPr>
          <w:p>
            <w:r>
              <w:rPr>
                <w:b w:val="0"/>
                <w:i w:val="0"/>
                <w:sz w:val="18"/>
              </w:rPr>
              <w:t>GHG emission factor for transport mode</w:t>
            </w:r>
          </w:p>
        </w:tc>
        <w:tc>
          <w:tcPr>
            <w:tcW w:type="dxa" w:w="2340"/>
          </w:tcPr>
          <w:p>
            <w:r>
              <w:rPr>
                <w:b w:val="0"/>
                <w:i w:val="0"/>
                <w:sz w:val="18"/>
              </w:rPr>
              <w:t>Specific fuel consumption or RED II disaggregated default</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Feedstock moisture content at intake (%)</w:t>
            </w:r>
          </w:p>
        </w:tc>
        <w:tc>
          <w:tcPr>
            <w:tcW w:type="dxa" w:w="2340"/>
          </w:tcPr>
          <w:p>
            <w:r>
              <w:rPr>
                <w:b w:val="0"/>
                <w:i w:val="0"/>
                <w:sz w:val="18"/>
              </w:rPr>
              <w:t>Lab analysis per batch</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Electricity consumption per tonne dry biomass (kWh/t)</w:t>
            </w:r>
          </w:p>
        </w:tc>
        <w:tc>
          <w:tcPr>
            <w:tcW w:type="dxa" w:w="2340"/>
          </w:tcPr>
          <w:p>
            <w:r>
              <w:rPr>
                <w:b w:val="0"/>
                <w:i w:val="0"/>
                <w:sz w:val="18"/>
              </w:rPr>
              <w:t>Meter readings per production run</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Heat inputs per tonne dry biomass (fuel type + quantity)</w:t>
            </w:r>
          </w:p>
        </w:tc>
        <w:tc>
          <w:tcPr>
            <w:tcW w:type="dxa" w:w="2340"/>
          </w:tcPr>
          <w:p>
            <w:r>
              <w:rPr>
                <w:b w:val="0"/>
                <w:i w:val="0"/>
                <w:sz w:val="18"/>
              </w:rPr>
              <w:t>Energy meters + combustion records</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Bio-oil yield (kg bio-oil / kg dry biomass)</w:t>
            </w:r>
          </w:p>
        </w:tc>
        <w:tc>
          <w:tcPr>
            <w:tcW w:type="dxa" w:w="2340"/>
          </w:tcPr>
          <w:p>
            <w:r>
              <w:rPr>
                <w:b w:val="0"/>
                <w:i w:val="0"/>
                <w:sz w:val="18"/>
              </w:rPr>
              <w:t>Mass balance per production run</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Carbon content of bio-oil (%)</w:t>
            </w:r>
          </w:p>
        </w:tc>
        <w:tc>
          <w:tcPr>
            <w:tcW w:type="dxa" w:w="2340"/>
          </w:tcPr>
          <w:p>
            <w:r>
              <w:rPr>
                <w:b w:val="0"/>
                <w:i w:val="0"/>
                <w:sz w:val="18"/>
              </w:rPr>
              <w:t>Lab analysis per batch</w:t>
            </w:r>
          </w:p>
        </w:tc>
        <w:tc>
          <w:tcPr>
            <w:tcW w:type="dxa" w:w="2340"/>
          </w:tcPr>
          <w:p>
            <w:r>
              <w:rPr>
                <w:b w:val="0"/>
                <w:i w:val="0"/>
                <w:sz w:val="18"/>
              </w:rPr>
            </w:r>
          </w:p>
        </w:tc>
      </w:tr>
      <w:tr>
        <w:tc>
          <w:tcPr>
            <w:tcW w:type="dxa" w:w="2340"/>
          </w:tcPr>
          <w:p>
            <w:r>
              <w:rPr>
                <w:b w:val="0"/>
                <w:i w:val="0"/>
                <w:sz w:val="18"/>
              </w:rPr>
              <w:t>Charm pyrolysis</w:t>
            </w:r>
          </w:p>
        </w:tc>
        <w:tc>
          <w:tcPr>
            <w:tcW w:type="dxa" w:w="2340"/>
          </w:tcPr>
          <w:p>
            <w:r>
              <w:rPr>
                <w:b w:val="0"/>
                <w:i w:val="0"/>
                <w:sz w:val="18"/>
              </w:rPr>
              <w:t>Biochar yield + allocation basis (energy or market value)</w:t>
            </w:r>
          </w:p>
        </w:tc>
        <w:tc>
          <w:tcPr>
            <w:tcW w:type="dxa" w:w="2340"/>
          </w:tcPr>
          <w:p>
            <w:r>
              <w:rPr>
                <w:b w:val="0"/>
                <w:i w:val="0"/>
                <w:sz w:val="18"/>
              </w:rPr>
              <w:t>Production records + pricing data for allocation</w:t>
            </w:r>
          </w:p>
        </w:tc>
        <w:tc>
          <w:tcPr>
            <w:tcW w:type="dxa" w:w="2340"/>
          </w:tcPr>
          <w:p>
            <w:r>
              <w:rPr>
                <w:b w:val="0"/>
                <w:i w:val="0"/>
                <w:sz w:val="18"/>
              </w:rPr>
            </w:r>
          </w:p>
        </w:tc>
      </w:tr>
      <w:tr>
        <w:tc>
          <w:tcPr>
            <w:tcW w:type="dxa" w:w="2340"/>
          </w:tcPr>
          <w:p>
            <w:r>
              <w:rPr>
                <w:b w:val="0"/>
                <w:i w:val="0"/>
                <w:sz w:val="18"/>
              </w:rPr>
              <w:t>Bio-oil transport</w:t>
            </w:r>
          </w:p>
        </w:tc>
        <w:tc>
          <w:tcPr>
            <w:tcW w:type="dxa" w:w="2340"/>
          </w:tcPr>
          <w:p>
            <w:r>
              <w:rPr>
                <w:b w:val="0"/>
                <w:i w:val="0"/>
                <w:sz w:val="18"/>
              </w:rPr>
              <w:t>Distance: Charm to refinery (km)</w:t>
            </w:r>
          </w:p>
        </w:tc>
        <w:tc>
          <w:tcPr>
            <w:tcW w:type="dxa" w:w="2340"/>
          </w:tcPr>
          <w:p>
            <w:r>
              <w:rPr>
                <w:b w:val="0"/>
                <w:i w:val="0"/>
                <w:sz w:val="18"/>
              </w:rPr>
              <w:t>GPS route</w:t>
            </w:r>
          </w:p>
        </w:tc>
        <w:tc>
          <w:tcPr>
            <w:tcW w:type="dxa" w:w="2340"/>
          </w:tcPr>
          <w:p>
            <w:r>
              <w:rPr>
                <w:b w:val="0"/>
                <w:i w:val="0"/>
                <w:sz w:val="18"/>
              </w:rPr>
            </w:r>
          </w:p>
        </w:tc>
      </w:tr>
      <w:tr>
        <w:tc>
          <w:tcPr>
            <w:tcW w:type="dxa" w:w="2340"/>
          </w:tcPr>
          <w:p>
            <w:r>
              <w:rPr>
                <w:b w:val="0"/>
                <w:i w:val="0"/>
                <w:sz w:val="18"/>
              </w:rPr>
              <w:t>Bio-oil transport</w:t>
            </w:r>
          </w:p>
        </w:tc>
        <w:tc>
          <w:tcPr>
            <w:tcW w:type="dxa" w:w="2340"/>
          </w:tcPr>
          <w:p>
            <w:r>
              <w:rPr>
                <w:b w:val="0"/>
                <w:i w:val="0"/>
                <w:sz w:val="18"/>
              </w:rPr>
              <w:t>Transport mode + GHG emission factor</w:t>
            </w:r>
          </w:p>
        </w:tc>
        <w:tc>
          <w:tcPr>
            <w:tcW w:type="dxa" w:w="2340"/>
          </w:tcPr>
          <w:p>
            <w:r>
              <w:rPr>
                <w:b w:val="0"/>
                <w:i w:val="0"/>
                <w:sz w:val="18"/>
              </w:rPr>
              <w:t>Logistics records; specific or RED II disaggregated default</w:t>
            </w:r>
          </w:p>
        </w:tc>
        <w:tc>
          <w:tcPr>
            <w:tcW w:type="dxa" w:w="2340"/>
          </w:tcPr>
          <w:p>
            <w:r>
              <w:rPr>
                <w:b w:val="0"/>
                <w:i w:val="0"/>
                <w:sz w:val="18"/>
              </w:rPr>
            </w:r>
          </w:p>
        </w:tc>
      </w:tr>
      <w:tr>
        <w:tc>
          <w:tcPr>
            <w:tcW w:type="dxa" w:w="2340"/>
          </w:tcPr>
          <w:p>
            <w:r>
              <w:rPr>
                <w:b w:val="0"/>
                <w:i w:val="0"/>
                <w:sz w:val="18"/>
              </w:rPr>
              <w:t>Refinery co-processing *</w:t>
            </w:r>
          </w:p>
        </w:tc>
        <w:tc>
          <w:tcPr>
            <w:tcW w:type="dxa" w:w="2340"/>
          </w:tcPr>
          <w:p>
            <w:r>
              <w:rPr>
                <w:b w:val="0"/>
                <w:i w:val="0"/>
                <w:sz w:val="18"/>
              </w:rPr>
              <w:t>F_bio: mass of bio-oil processed per period (kg)</w:t>
            </w:r>
          </w:p>
        </w:tc>
        <w:tc>
          <w:tcPr>
            <w:tcW w:type="dxa" w:w="2340"/>
          </w:tcPr>
          <w:p>
            <w:r>
              <w:rPr>
                <w:b w:val="0"/>
                <w:i w:val="0"/>
                <w:sz w:val="18"/>
              </w:rPr>
              <w:t>Refinery custody transfer records</w:t>
            </w:r>
          </w:p>
        </w:tc>
        <w:tc>
          <w:tcPr>
            <w:tcW w:type="dxa" w:w="2340"/>
          </w:tcPr>
          <w:p>
            <w:r>
              <w:rPr>
                <w:b w:val="0"/>
                <w:i w:val="0"/>
                <w:sz w:val="18"/>
              </w:rPr>
            </w:r>
          </w:p>
        </w:tc>
      </w:tr>
      <w:tr>
        <w:tc>
          <w:tcPr>
            <w:tcW w:type="dxa" w:w="2340"/>
          </w:tcPr>
          <w:p>
            <w:r>
              <w:rPr>
                <w:b w:val="0"/>
                <w:i w:val="0"/>
                <w:sz w:val="18"/>
              </w:rPr>
              <w:t>Refinery co-processing *</w:t>
            </w:r>
          </w:p>
        </w:tc>
        <w:tc>
          <w:tcPr>
            <w:tcW w:type="dxa" w:w="2340"/>
          </w:tcPr>
          <w:p>
            <w:r>
              <w:rPr>
                <w:b w:val="0"/>
                <w:i w:val="0"/>
                <w:sz w:val="18"/>
              </w:rPr>
              <w:t>F_fossil: mass of fossil feedstock per period (kg)</w:t>
            </w:r>
          </w:p>
        </w:tc>
        <w:tc>
          <w:tcPr>
            <w:tcW w:type="dxa" w:w="2340"/>
          </w:tcPr>
          <w:p>
            <w:r>
              <w:rPr>
                <w:b w:val="0"/>
                <w:i w:val="0"/>
                <w:sz w:val="18"/>
              </w:rPr>
              <w:t>Refinery production records</w:t>
            </w:r>
          </w:p>
        </w:tc>
        <w:tc>
          <w:tcPr>
            <w:tcW w:type="dxa" w:w="2340"/>
          </w:tcPr>
          <w:p>
            <w:r>
              <w:rPr>
                <w:b w:val="0"/>
                <w:i w:val="0"/>
                <w:sz w:val="18"/>
              </w:rPr>
            </w:r>
          </w:p>
        </w:tc>
      </w:tr>
      <w:tr>
        <w:tc>
          <w:tcPr>
            <w:tcW w:type="dxa" w:w="2340"/>
          </w:tcPr>
          <w:p>
            <w:r>
              <w:rPr>
                <w:b w:val="0"/>
                <w:i w:val="0"/>
                <w:sz w:val="18"/>
              </w:rPr>
              <w:t>Refinery co-processing *</w:t>
            </w:r>
          </w:p>
        </w:tc>
        <w:tc>
          <w:tcPr>
            <w:tcW w:type="dxa" w:w="2340"/>
          </w:tcPr>
          <w:p>
            <w:r>
              <w:rPr>
                <w:b w:val="0"/>
                <w:i w:val="0"/>
                <w:sz w:val="18"/>
              </w:rPr>
              <w:t>E_total_process: total GHG from refinery processing step</w:t>
            </w:r>
          </w:p>
        </w:tc>
        <w:tc>
          <w:tcPr>
            <w:tcW w:type="dxa" w:w="2340"/>
          </w:tcPr>
          <w:p>
            <w:r>
              <w:rPr>
                <w:b w:val="0"/>
                <w:i w:val="0"/>
                <w:sz w:val="18"/>
              </w:rPr>
              <w:t>Refinery energy records + emission factors</w:t>
            </w:r>
          </w:p>
        </w:tc>
        <w:tc>
          <w:tcPr>
            <w:tcW w:type="dxa" w:w="2340"/>
          </w:tcPr>
          <w:p>
            <w:r>
              <w:rPr>
                <w:b w:val="0"/>
                <w:i w:val="0"/>
                <w:sz w:val="18"/>
              </w:rPr>
            </w:r>
          </w:p>
        </w:tc>
      </w:tr>
      <w:tr>
        <w:tc>
          <w:tcPr>
            <w:tcW w:type="dxa" w:w="2340"/>
          </w:tcPr>
          <w:p>
            <w:r>
              <w:rPr>
                <w:b w:val="0"/>
                <w:i w:val="0"/>
                <w:sz w:val="18"/>
              </w:rPr>
              <w:t>Refinery co-processing *</w:t>
            </w:r>
          </w:p>
        </w:tc>
        <w:tc>
          <w:tcPr>
            <w:tcW w:type="dxa" w:w="2340"/>
          </w:tcPr>
          <w:p>
            <w:r>
              <w:rPr>
                <w:b w:val="0"/>
                <w:i w:val="0"/>
                <w:sz w:val="18"/>
              </w:rPr>
              <w:t>e_additional: incremental energy/reagents for bio-oil (incl. upstream)</w:t>
            </w:r>
          </w:p>
        </w:tc>
        <w:tc>
          <w:tcPr>
            <w:tcW w:type="dxa" w:w="2340"/>
          </w:tcPr>
          <w:p>
            <w:r>
              <w:rPr>
                <w:b w:val="0"/>
                <w:i w:val="0"/>
                <w:sz w:val="18"/>
              </w:rPr>
              <w:t>Refinery process engineering assessment</w:t>
            </w:r>
          </w:p>
        </w:tc>
        <w:tc>
          <w:tcPr>
            <w:tcW w:type="dxa" w:w="2340"/>
          </w:tcPr>
          <w:p>
            <w:r>
              <w:rPr>
                <w:b w:val="0"/>
                <w:i w:val="0"/>
                <w:sz w:val="18"/>
              </w:rPr>
            </w:r>
          </w:p>
        </w:tc>
      </w:tr>
      <w:tr>
        <w:tc>
          <w:tcPr>
            <w:tcW w:type="dxa" w:w="2340"/>
          </w:tcPr>
          <w:p>
            <w:r>
              <w:rPr>
                <w:b w:val="0"/>
                <w:i w:val="0"/>
                <w:sz w:val="18"/>
              </w:rPr>
              <w:t>Refinery co-processing *</w:t>
            </w:r>
          </w:p>
        </w:tc>
        <w:tc>
          <w:tcPr>
            <w:tcW w:type="dxa" w:w="2340"/>
          </w:tcPr>
          <w:p>
            <w:r>
              <w:rPr>
                <w:b w:val="0"/>
                <w:i w:val="0"/>
                <w:sz w:val="18"/>
              </w:rPr>
              <w:t>ηCi: carbon conversion efficiency (annual measurement)</w:t>
            </w:r>
          </w:p>
        </w:tc>
        <w:tc>
          <w:tcPr>
            <w:tcW w:type="dxa" w:w="2340"/>
          </w:tcPr>
          <w:p>
            <w:r>
              <w:rPr>
                <w:b w:val="0"/>
                <w:i w:val="0"/>
                <w:sz w:val="18"/>
              </w:rPr>
              <w:t>C in fuel output / C in bio-oil input; precision and bias documented</w:t>
            </w:r>
          </w:p>
        </w:tc>
        <w:tc>
          <w:tcPr>
            <w:tcW w:type="dxa" w:w="2340"/>
          </w:tcPr>
          <w:p>
            <w:r>
              <w:rPr>
                <w:b w:val="0"/>
                <w:i w:val="0"/>
                <w:sz w:val="18"/>
              </w:rPr>
            </w:r>
          </w:p>
        </w:tc>
      </w:tr>
      <w:tr>
        <w:tc>
          <w:tcPr>
            <w:tcW w:type="dxa" w:w="2340"/>
          </w:tcPr>
          <w:p>
            <w:r>
              <w:rPr>
                <w:b w:val="0"/>
                <w:i w:val="0"/>
                <w:sz w:val="18"/>
              </w:rPr>
              <w:t>Fuel use</w:t>
            </w:r>
          </w:p>
        </w:tc>
        <w:tc>
          <w:tcPr>
            <w:tcW w:type="dxa" w:w="2340"/>
          </w:tcPr>
          <w:p>
            <w:r>
              <w:rPr>
                <w:b w:val="0"/>
                <w:i w:val="0"/>
                <w:sz w:val="18"/>
              </w:rPr>
              <w:t>Fuel type + RED II Annex V emission factor</w:t>
            </w:r>
          </w:p>
        </w:tc>
        <w:tc>
          <w:tcPr>
            <w:tcW w:type="dxa" w:w="2340"/>
          </w:tcPr>
          <w:p>
            <w:r>
              <w:rPr>
                <w:b w:val="0"/>
                <w:i w:val="0"/>
                <w:sz w:val="18"/>
              </w:rPr>
              <w:t>RED II Annex V table</w:t>
            </w:r>
          </w:p>
        </w:tc>
        <w:tc>
          <w:tcPr>
            <w:tcW w:type="dxa" w:w="2340"/>
          </w:tcPr>
          <w:p>
            <w:r>
              <w:rPr>
                <w:b w:val="0"/>
                <w:i w:val="0"/>
                <w:sz w:val="18"/>
              </w:rPr>
            </w:r>
          </w:p>
        </w:tc>
      </w:tr>
    </w:tbl>
    <w:p>
      <w:r>
        <w:br w:type="page"/>
      </w:r>
    </w:p>
    <w:p>
      <w:pPr>
        <w:spacing w:before="200" w:after="80"/>
      </w:pPr>
      <w:r>
        <w:rPr>
          <w:b/>
          <w:i w:val="0"/>
          <w:caps/>
          <w:color w:val="003366"/>
          <w:sz w:val="30"/>
        </w:rPr>
        <w:t>PART 6: PHASED CERTIFICATION PLAN</w:t>
      </w:r>
    </w:p>
    <w:p>
      <w:pPr>
        <w:spacing w:before="160"/>
      </w:pPr>
      <w:r>
        <w:rPr>
          <w:b/>
          <w:i w:val="0"/>
          <w:color w:val="003366"/>
          <w:sz w:val="22"/>
        </w:rPr>
        <w:t>Phase 0: Resolve Critical Open Items</w:t>
      </w:r>
      <w:r>
        <w:rPr>
          <w:b w:val="0"/>
          <w:i/>
          <w:sz w:val="20"/>
        </w:rPr>
        <w:t xml:space="preserve">  (Immediate — June 2026)</w:t>
      </w:r>
    </w:p>
    <w:p>
      <w:pPr>
        <w:pStyle w:val="ListBullet"/>
        <w:spacing w:after="40"/>
        <w:ind w:left="227"/>
      </w:pPr>
      <w:r>
        <w:rPr>
          <w:b w:val="0"/>
          <w:i w:val="0"/>
          <w:sz w:val="20"/>
        </w:rPr>
        <w:t>Contact RSB Secretariat: confirm RSB-GUI-01-013-01 applies to RSB Global pathway (OCI-1).</w:t>
      </w:r>
    </w:p>
    <w:p>
      <w:pPr>
        <w:pStyle w:val="ListBullet"/>
        <w:spacing w:after="40"/>
        <w:ind w:left="227"/>
      </w:pPr>
      <w:r>
        <w:rPr>
          <w:b w:val="0"/>
          <w:i w:val="0"/>
          <w:sz w:val="20"/>
        </w:rPr>
        <w:t>Contact RSB Secretariat: confirm RSB-GUI-PG-2025-02 applies to RSB Global co-processing GHG calculations (OCI-2).</w:t>
      </w:r>
    </w:p>
    <w:p>
      <w:pPr>
        <w:pStyle w:val="ListBullet"/>
        <w:spacing w:after="40"/>
        <w:ind w:left="227"/>
      </w:pPr>
      <w:r>
        <w:rPr>
          <w:b w:val="0"/>
          <w:i w:val="0"/>
          <w:sz w:val="20"/>
        </w:rPr>
        <w:t>Confirm refinery partner RSB certification status and timeline; incorporate into commercial arrangements (OCI-3).</w:t>
      </w:r>
    </w:p>
    <w:p>
      <w:pPr>
        <w:pStyle w:val="ListBullet"/>
        <w:spacing w:after="40"/>
        <w:ind w:left="227"/>
      </w:pPr>
      <w:r>
        <w:rPr>
          <w:b w:val="0"/>
          <w:i w:val="0"/>
          <w:sz w:val="20"/>
        </w:rPr>
        <w:t>Identify RSB-accredited certification body with forestry and biofuels expertise for North American context.</w:t>
      </w:r>
    </w:p>
    <w:p>
      <w:pPr>
        <w:spacing w:before="160"/>
      </w:pPr>
      <w:r>
        <w:rPr>
          <w:b/>
          <w:i w:val="0"/>
          <w:color w:val="003366"/>
          <w:sz w:val="22"/>
        </w:rPr>
        <w:t>Phase 1: Foundation</w:t>
      </w:r>
      <w:r>
        <w:rPr>
          <w:b w:val="0"/>
          <w:i/>
          <w:sz w:val="20"/>
        </w:rPr>
        <w:t xml:space="preserve">  (July–September 2026)</w:t>
      </w:r>
    </w:p>
    <w:p>
      <w:pPr>
        <w:pStyle w:val="ListBullet"/>
        <w:spacing w:after="40"/>
        <w:ind w:left="227"/>
      </w:pPr>
      <w:r>
        <w:rPr>
          <w:b w:val="0"/>
          <w:i w:val="0"/>
          <w:sz w:val="20"/>
        </w:rPr>
        <w:t>Engage RSB-accredited certification body; scope certification boundary and agree audit timeline.</w:t>
      </w:r>
    </w:p>
    <w:p>
      <w:pPr>
        <w:pStyle w:val="ListBullet"/>
        <w:spacing w:after="40"/>
        <w:ind w:left="227"/>
      </w:pPr>
      <w:r>
        <w:rPr>
          <w:b w:val="0"/>
          <w:i w:val="0"/>
          <w:sz w:val="20"/>
        </w:rPr>
        <w:t>Audit RSB/FSC certification status of all existing biomass suppliers; begin transition timelines for any uncertified suppliers.</w:t>
      </w:r>
    </w:p>
    <w:p>
      <w:pPr>
        <w:pStyle w:val="ListBullet"/>
        <w:spacing w:after="40"/>
        <w:ind w:left="227"/>
      </w:pPr>
      <w:r>
        <w:rPr>
          <w:b w:val="0"/>
          <w:i w:val="0"/>
          <w:sz w:val="20"/>
        </w:rPr>
        <w:t>Develop forest management plan template incorporating all §3.2.2 requirements.</w:t>
      </w:r>
    </w:p>
    <w:p>
      <w:pPr>
        <w:pStyle w:val="ListBullet"/>
        <w:spacing w:after="40"/>
        <w:ind w:left="227"/>
      </w:pPr>
      <w:r>
        <w:rPr>
          <w:b w:val="0"/>
          <w:i w:val="0"/>
          <w:sz w:val="20"/>
        </w:rPr>
        <w:t>Commission soil sensitivity assessment for all sourcing areas (RUSLE K, R, LS; Low/Medium/High assignment per Annex 1 Table 2).</w:t>
      </w:r>
    </w:p>
    <w:p>
      <w:pPr>
        <w:pStyle w:val="ListBullet"/>
        <w:spacing w:after="40"/>
        <w:ind w:left="227"/>
      </w:pPr>
      <w:r>
        <w:rPr>
          <w:b w:val="0"/>
          <w:i w:val="0"/>
          <w:sz w:val="20"/>
        </w:rPr>
        <w:t>Map no-go areas for all sourcing regions against IUCN, Ramsar, UNESCO, and Canopy Forest mapper.</w:t>
      </w:r>
    </w:p>
    <w:p>
      <w:pPr>
        <w:pStyle w:val="ListBullet"/>
        <w:spacing w:after="40"/>
        <w:ind w:left="227"/>
      </w:pPr>
      <w:r>
        <w:rPr>
          <w:b w:val="0"/>
          <w:i w:val="0"/>
          <w:sz w:val="20"/>
        </w:rPr>
        <w:t>Collect baseline DBH distribution and residue retention data per sourcing area.</w:t>
      </w:r>
    </w:p>
    <w:p>
      <w:pPr>
        <w:pStyle w:val="ListBullet"/>
        <w:spacing w:after="40"/>
        <w:ind w:left="227"/>
      </w:pPr>
      <w:r>
        <w:rPr>
          <w:b w:val="0"/>
          <w:i w:val="0"/>
          <w:sz w:val="20"/>
        </w:rPr>
        <w:t>Draft supply chain eligibility procedure with visual confirmation guidelines and training program (Annex 1 Indicator #3).</w:t>
      </w:r>
    </w:p>
    <w:p>
      <w:pPr>
        <w:pStyle w:val="ListBullet"/>
        <w:spacing w:after="40"/>
        <w:ind w:left="227"/>
      </w:pPr>
      <w:r>
        <w:rPr>
          <w:b w:val="0"/>
          <w:i w:val="0"/>
          <w:sz w:val="20"/>
        </w:rPr>
        <w:t>Establish standing dead wood monitoring methodology per management unit.</w:t>
      </w:r>
    </w:p>
    <w:p>
      <w:pPr>
        <w:spacing w:before="160"/>
      </w:pPr>
      <w:r>
        <w:rPr>
          <w:b/>
          <w:i w:val="0"/>
          <w:color w:val="003366"/>
          <w:sz w:val="22"/>
        </w:rPr>
        <w:t>Phase 2: Pre-Audit Preparation</w:t>
      </w:r>
      <w:r>
        <w:rPr>
          <w:b w:val="0"/>
          <w:i/>
          <w:sz w:val="20"/>
        </w:rPr>
        <w:t xml:space="preserve">  (October–December 2026)</w:t>
      </w:r>
    </w:p>
    <w:p>
      <w:pPr>
        <w:pStyle w:val="ListBullet"/>
        <w:spacing w:after="40"/>
        <w:ind w:left="227"/>
      </w:pPr>
      <w:r>
        <w:rPr>
          <w:b w:val="0"/>
          <w:i w:val="0"/>
          <w:sz w:val="20"/>
        </w:rPr>
        <w:t>Complete forest management documentation package for all sourcing areas.</w:t>
      </w:r>
    </w:p>
    <w:p>
      <w:pPr>
        <w:pStyle w:val="ListBullet"/>
        <w:spacing w:after="40"/>
        <w:ind w:left="227"/>
      </w:pPr>
      <w:r>
        <w:rPr>
          <w:b w:val="0"/>
          <w:i w:val="0"/>
          <w:sz w:val="20"/>
        </w:rPr>
        <w:t>Establish mass balance system (Fixed, ≤ 3 months); conduct internal test run.</w:t>
      </w:r>
    </w:p>
    <w:p>
      <w:pPr>
        <w:pStyle w:val="ListBullet"/>
        <w:spacing w:after="40"/>
        <w:ind w:left="227"/>
      </w:pPr>
      <w:r>
        <w:rPr>
          <w:b w:val="0"/>
          <w:i w:val="0"/>
          <w:sz w:val="20"/>
        </w:rPr>
        <w:t>Collect full refinery co-processing data package (F_bio, F_fossil, E_total_process, e_additional).</w:t>
      </w:r>
    </w:p>
    <w:p>
      <w:pPr>
        <w:pStyle w:val="ListBullet"/>
        <w:spacing w:after="40"/>
        <w:ind w:left="227"/>
      </w:pPr>
      <w:r>
        <w:rPr>
          <w:b w:val="0"/>
          <w:i w:val="0"/>
          <w:sz w:val="20"/>
        </w:rPr>
        <w:t>Perform first carbon conversion efficiency (ηCi) measurement and document precision/bias.</w:t>
      </w:r>
    </w:p>
    <w:p>
      <w:pPr>
        <w:pStyle w:val="ListBullet"/>
        <w:spacing w:after="40"/>
        <w:ind w:left="227"/>
      </w:pPr>
      <w:r>
        <w:rPr>
          <w:b w:val="0"/>
          <w:i w:val="0"/>
          <w:sz w:val="20"/>
        </w:rPr>
        <w:t>Calculate preliminary GHG intensity (feedstock-to-product) using real data; verify ≥ 65% savings.</w:t>
      </w:r>
    </w:p>
    <w:p>
      <w:pPr>
        <w:pStyle w:val="ListBullet"/>
        <w:spacing w:after="40"/>
        <w:ind w:left="227"/>
      </w:pPr>
      <w:r>
        <w:rPr>
          <w:b w:val="0"/>
          <w:i w:val="0"/>
          <w:sz w:val="20"/>
        </w:rPr>
        <w:t>Build 16-field PoS system; issue and process test PoS documents.</w:t>
      </w:r>
    </w:p>
    <w:p>
      <w:pPr>
        <w:pStyle w:val="ListBullet"/>
        <w:spacing w:after="40"/>
        <w:ind w:left="227"/>
      </w:pPr>
      <w:r>
        <w:rPr>
          <w:b w:val="0"/>
          <w:i w:val="0"/>
          <w:sz w:val="20"/>
        </w:rPr>
        <w:t>Conduct internal pre-audit against Part 7 checklist; produce corrective action plan.</w:t>
      </w:r>
    </w:p>
    <w:p>
      <w:pPr>
        <w:spacing w:before="160"/>
      </w:pPr>
      <w:r>
        <w:rPr>
          <w:b/>
          <w:i w:val="0"/>
          <w:color w:val="003366"/>
          <w:sz w:val="22"/>
        </w:rPr>
        <w:t>Phase 3: Certification Audit</w:t>
      </w:r>
      <w:r>
        <w:rPr>
          <w:b w:val="0"/>
          <w:i/>
          <w:sz w:val="20"/>
        </w:rPr>
        <w:t xml:space="preserve">  (January–March 2027)</w:t>
      </w:r>
    </w:p>
    <w:p>
      <w:pPr>
        <w:pStyle w:val="ListBullet"/>
        <w:spacing w:after="40"/>
        <w:ind w:left="227"/>
      </w:pPr>
      <w:r>
        <w:rPr>
          <w:b w:val="0"/>
          <w:i w:val="0"/>
          <w:sz w:val="20"/>
        </w:rPr>
        <w:t>Certification body Stage 1 (desktop document review).</w:t>
      </w:r>
    </w:p>
    <w:p>
      <w:pPr>
        <w:pStyle w:val="ListBullet"/>
        <w:spacing w:after="40"/>
        <w:ind w:left="227"/>
      </w:pPr>
      <w:r>
        <w:rPr>
          <w:b w:val="0"/>
          <w:i w:val="0"/>
          <w:sz w:val="20"/>
        </w:rPr>
        <w:t>Certification body Stage 2 (on-site audits at: representative forest management units, Charm pyrolysis facility, refinery co-processing site).</w:t>
      </w:r>
    </w:p>
    <w:p>
      <w:pPr>
        <w:pStyle w:val="ListBullet"/>
        <w:spacing w:after="40"/>
        <w:ind w:left="227"/>
      </w:pPr>
      <w:r>
        <w:rPr>
          <w:b w:val="0"/>
          <w:i w:val="0"/>
          <w:sz w:val="20"/>
        </w:rPr>
        <w:t>Note: Annex 1 specifies that auditors must demonstrate expertise in local/regional forestry context and must conduct on-site visual inspection at forest management units. Confirm appointed auditors meet this requirement (RSB-PRO-70-001 §G).</w:t>
      </w:r>
    </w:p>
    <w:p>
      <w:pPr>
        <w:pStyle w:val="ListBullet"/>
        <w:spacing w:after="40"/>
        <w:ind w:left="227"/>
      </w:pPr>
      <w:r>
        <w:rPr>
          <w:b w:val="0"/>
          <w:i w:val="0"/>
          <w:sz w:val="20"/>
        </w:rPr>
        <w:t>Respond to audit findings; address non-conformities within agreed timelines.</w:t>
      </w:r>
    </w:p>
    <w:p>
      <w:pPr>
        <w:spacing w:before="160"/>
      </w:pPr>
      <w:r>
        <w:rPr>
          <w:b/>
          <w:i w:val="0"/>
          <w:color w:val="003366"/>
          <w:sz w:val="22"/>
        </w:rPr>
        <w:t>Phase 4: Certification and Ongoing Compliance</w:t>
      </w:r>
      <w:r>
        <w:rPr>
          <w:b w:val="0"/>
          <w:i/>
          <w:sz w:val="20"/>
        </w:rPr>
        <w:t xml:space="preserve">  (April 2027 onward)</w:t>
      </w:r>
    </w:p>
    <w:p>
      <w:pPr>
        <w:pStyle w:val="ListBullet"/>
        <w:spacing w:after="40"/>
        <w:ind w:left="227"/>
      </w:pPr>
      <w:r>
        <w:rPr>
          <w:b w:val="0"/>
          <w:i w:val="0"/>
          <w:sz w:val="20"/>
        </w:rPr>
        <w:t>Receive RSB Global Advanced Fuels certificate; issue first commercial PoS documents.</w:t>
      </w:r>
    </w:p>
    <w:p>
      <w:pPr>
        <w:pStyle w:val="ListBullet"/>
        <w:spacing w:after="40"/>
        <w:ind w:left="227"/>
      </w:pPr>
      <w:r>
        <w:rPr>
          <w:b w:val="0"/>
          <w:i w:val="0"/>
          <w:sz w:val="20"/>
        </w:rPr>
        <w:t>Establish annual re-audit and surveillance schedule.</w:t>
      </w:r>
    </w:p>
    <w:p>
      <w:pPr>
        <w:pStyle w:val="ListBullet"/>
        <w:spacing w:after="40"/>
        <w:ind w:left="227"/>
      </w:pPr>
      <w:r>
        <w:rPr>
          <w:b w:val="0"/>
          <w:i w:val="0"/>
          <w:sz w:val="20"/>
        </w:rPr>
        <w:t>Annual ηCi measurement and GHG intensity recalculation.</w:t>
      </w:r>
    </w:p>
    <w:p>
      <w:pPr>
        <w:pStyle w:val="ListBullet"/>
        <w:spacing w:after="40"/>
        <w:ind w:left="227"/>
      </w:pPr>
      <w:r>
        <w:rPr>
          <w:b w:val="0"/>
          <w:i w:val="0"/>
          <w:sz w:val="20"/>
        </w:rPr>
        <w:t>Annual forest management plan review and soil management documentation update.</w:t>
      </w:r>
    </w:p>
    <w:p>
      <w:pPr>
        <w:pStyle w:val="ListBullet"/>
        <w:spacing w:after="40"/>
        <w:ind w:left="227"/>
      </w:pPr>
      <w:r>
        <w:rPr>
          <w:b w:val="0"/>
          <w:i w:val="0"/>
          <w:sz w:val="20"/>
        </w:rPr>
        <w:t>3-month mass balance period management: internal calendar alerts at 2.5 months to prevent exceedance.</w:t>
      </w:r>
    </w:p>
    <w:p>
      <w:r>
        <w:br w:type="page"/>
      </w:r>
    </w:p>
    <w:p>
      <w:pPr>
        <w:spacing w:before="200" w:after="80"/>
      </w:pPr>
      <w:r>
        <w:rPr>
          <w:b/>
          <w:i w:val="0"/>
          <w:caps/>
          <w:color w:val="003366"/>
          <w:sz w:val="30"/>
        </w:rPr>
        <w:t>PART 7: COMPLETE REQUIREMENTS CHECKLIST</w:t>
      </w:r>
    </w:p>
    <w:p>
      <w:pPr>
        <w:spacing w:before="120" w:after="80"/>
      </w:pPr>
      <w:r>
        <w:rPr>
          <w:b/>
          <w:i w:val="0"/>
          <w:color w:val="003366"/>
          <w:sz w:val="24"/>
        </w:rPr>
        <w:t>A. Feedstock Eligibility</w:t>
      </w:r>
    </w:p>
    <w:p>
      <w:pPr>
        <w:spacing w:before="40" w:after="80"/>
      </w:pPr>
      <w:r>
        <w:rPr>
          <w:b w:val="0"/>
          <w:i/>
          <w:color w:val="555555"/>
          <w:sz w:val="18"/>
        </w:rPr>
        <w:t>Source: RSB-GUI-01-013-01 (11 Nov 2024) + Annex 1 (Dec 2024). See OCI-1 for scope question.</w:t>
      </w:r>
    </w:p>
    <w:p>
      <w:pPr>
        <w:spacing w:after="40"/>
        <w:ind w:left="170"/>
      </w:pPr>
      <w:r>
        <w:rPr>
          <w:b w:val="0"/>
          <w:i w:val="0"/>
          <w:sz w:val="20"/>
        </w:rPr>
        <w:t xml:space="preserve">☐  </w:t>
      </w:r>
      <w:r>
        <w:rPr>
          <w:b w:val="0"/>
          <w:i w:val="0"/>
          <w:sz w:val="20"/>
        </w:rPr>
        <w:t>Forest manager holds current RSB P&amp;C or FSC certification (or RSB-recognised equivalent)</w:t>
      </w:r>
      <w:r>
        <w:rPr>
          <w:b w:val="0"/>
          <w:i/>
          <w:color w:val="555555"/>
          <w:sz w:val="18"/>
        </w:rPr>
        <w:t xml:space="preserve">  [GUI-01-013-01 §3.2.1]</w:t>
      </w:r>
    </w:p>
    <w:p>
      <w:pPr>
        <w:spacing w:after="40"/>
        <w:ind w:left="170"/>
      </w:pPr>
      <w:r>
        <w:rPr>
          <w:b w:val="0"/>
          <w:i w:val="0"/>
          <w:sz w:val="20"/>
        </w:rPr>
        <w:t xml:space="preserve">☐  </w:t>
      </w:r>
      <w:r>
        <w:rPr>
          <w:b w:val="0"/>
          <w:i w:val="0"/>
          <w:sz w:val="20"/>
        </w:rPr>
        <w:t>Biomass types documented as slash, salvage logging wood, or pre-commercial/ecological thinnings only</w:t>
      </w:r>
      <w:r>
        <w:rPr>
          <w:b w:val="0"/>
          <w:i/>
          <w:color w:val="555555"/>
          <w:sz w:val="18"/>
        </w:rPr>
        <w:t xml:space="preserve">  [GUI-01-013-01 §3.1]</w:t>
      </w:r>
    </w:p>
    <w:p>
      <w:pPr>
        <w:spacing w:after="40"/>
        <w:ind w:left="170"/>
      </w:pPr>
      <w:r>
        <w:rPr>
          <w:b w:val="0"/>
          <w:i w:val="0"/>
          <w:sz w:val="20"/>
        </w:rPr>
        <w:t xml:space="preserve">☐  </w:t>
      </w:r>
      <w:r>
        <w:rPr>
          <w:b w:val="0"/>
          <w:i w:val="0"/>
          <w:sz w:val="20"/>
        </w:rPr>
        <w:t>Roundwood excluded from all energy use feedstock flows</w:t>
      </w:r>
      <w:r>
        <w:rPr>
          <w:b w:val="0"/>
          <w:i/>
          <w:color w:val="555555"/>
          <w:sz w:val="18"/>
        </w:rPr>
        <w:t xml:space="preserve">  [GUI-01-013-01 §3.1]</w:t>
      </w:r>
    </w:p>
    <w:p>
      <w:pPr>
        <w:spacing w:after="40"/>
        <w:ind w:left="170"/>
      </w:pPr>
      <w:r>
        <w:rPr>
          <w:b w:val="0"/>
          <w:i w:val="0"/>
          <w:sz w:val="20"/>
        </w:rPr>
        <w:t xml:space="preserve">☐  </w:t>
      </w:r>
      <w:r>
        <w:rPr>
          <w:b w:val="0"/>
          <w:i w:val="0"/>
          <w:sz w:val="20"/>
        </w:rPr>
        <w:t>DBH records maintained for all thinnings; species-specific pre-commercial threshold documented</w:t>
      </w:r>
      <w:r>
        <w:rPr>
          <w:b w:val="0"/>
          <w:i/>
          <w:color w:val="555555"/>
          <w:sz w:val="18"/>
        </w:rPr>
        <w:t xml:space="preserve">  [GUI-01-013-01 §3.4]</w:t>
      </w:r>
    </w:p>
    <w:p>
      <w:pPr>
        <w:spacing w:after="40"/>
        <w:ind w:left="170"/>
      </w:pPr>
      <w:r>
        <w:rPr>
          <w:b w:val="0"/>
          <w:i w:val="0"/>
          <w:sz w:val="20"/>
        </w:rPr>
        <w:t xml:space="preserve">☐  </w:t>
      </w:r>
      <w:r>
        <w:rPr>
          <w:b w:val="0"/>
          <w:i w:val="0"/>
          <w:sz w:val="20"/>
        </w:rPr>
        <w:t>Pre-commercial thinning: evidence of silvicultural purpose; substantial stock remains in stand</w:t>
      </w:r>
      <w:r>
        <w:rPr>
          <w:b w:val="0"/>
          <w:i/>
          <w:color w:val="555555"/>
          <w:sz w:val="18"/>
        </w:rPr>
        <w:t xml:space="preserve">  [GUI-01-013-01 §3.4]</w:t>
      </w:r>
    </w:p>
    <w:p>
      <w:pPr>
        <w:spacing w:after="40"/>
        <w:ind w:left="170"/>
      </w:pPr>
      <w:r>
        <w:rPr>
          <w:b w:val="0"/>
          <w:i w:val="0"/>
          <w:sz w:val="20"/>
        </w:rPr>
        <w:t xml:space="preserve">☐  </w:t>
      </w:r>
      <w:r>
        <w:rPr>
          <w:b w:val="0"/>
          <w:i w:val="0"/>
          <w:sz w:val="20"/>
        </w:rPr>
        <w:t>Ecological thinning (DBH &gt; 10 inches): ecological reason evidenced; practice on RSB positive list</w:t>
      </w:r>
      <w:r>
        <w:rPr>
          <w:b w:val="0"/>
          <w:i/>
          <w:color w:val="555555"/>
          <w:sz w:val="18"/>
        </w:rPr>
        <w:t xml:space="preserve">  [GUI-01-013-01 §3.4]</w:t>
      </w:r>
    </w:p>
    <w:p>
      <w:pPr>
        <w:spacing w:after="40"/>
        <w:ind w:left="170"/>
      </w:pPr>
      <w:r>
        <w:rPr>
          <w:b w:val="0"/>
          <w:i w:val="0"/>
          <w:sz w:val="20"/>
        </w:rPr>
        <w:t xml:space="preserve">☐  </w:t>
      </w:r>
      <w:r>
        <w:rPr>
          <w:b w:val="0"/>
          <w:i w:val="0"/>
          <w:sz w:val="20"/>
        </w:rPr>
        <w:t>Pulpwood market test passed: no regional market OR sufficient surplus fibre (energy market deliveries)</w:t>
      </w:r>
      <w:r>
        <w:rPr>
          <w:b w:val="0"/>
          <w:i/>
          <w:color w:val="555555"/>
          <w:sz w:val="18"/>
        </w:rPr>
        <w:t xml:space="preserve">  [GUI-01-013-01 §3.4]</w:t>
      </w:r>
    </w:p>
    <w:p>
      <w:pPr>
        <w:spacing w:after="40"/>
        <w:ind w:left="170"/>
      </w:pPr>
      <w:r>
        <w:rPr>
          <w:b w:val="0"/>
          <w:i w:val="0"/>
          <w:sz w:val="20"/>
        </w:rPr>
        <w:t xml:space="preserve">☐  </w:t>
      </w:r>
      <w:r>
        <w:rPr>
          <w:b w:val="0"/>
          <w:i w:val="0"/>
          <w:sz w:val="20"/>
        </w:rPr>
        <w:t>No-go area clearance documented for all sourcing areas (IUCN I-IV, Ramsar, UNESCO, primary forest, ancient/endangered forests)</w:t>
      </w:r>
      <w:r>
        <w:rPr>
          <w:b w:val="0"/>
          <w:i/>
          <w:color w:val="555555"/>
          <w:sz w:val="18"/>
        </w:rPr>
        <w:t xml:space="preserve">  [GUI-01-013-01 §3.2]</w:t>
      </w:r>
    </w:p>
    <w:p>
      <w:pPr>
        <w:spacing w:after="40"/>
        <w:ind w:left="170"/>
      </w:pPr>
      <w:r>
        <w:rPr>
          <w:b w:val="0"/>
          <w:i w:val="0"/>
          <w:sz w:val="20"/>
        </w:rPr>
        <w:t xml:space="preserve">☐  </w:t>
      </w:r>
      <w:r>
        <w:rPr>
          <w:b w:val="0"/>
          <w:i w:val="0"/>
          <w:sz w:val="20"/>
        </w:rPr>
        <w:t>Forest management plan per sourcing area; includes soil management section</w:t>
      </w:r>
      <w:r>
        <w:rPr>
          <w:b w:val="0"/>
          <w:i/>
          <w:color w:val="555555"/>
          <w:sz w:val="18"/>
        </w:rPr>
        <w:t xml:space="preserve">  [GUI-01-013-01 §3.2.2]</w:t>
      </w:r>
    </w:p>
    <w:p>
      <w:pPr>
        <w:spacing w:after="40"/>
        <w:ind w:left="170"/>
      </w:pPr>
      <w:r>
        <w:rPr>
          <w:b w:val="0"/>
          <w:i w:val="0"/>
          <w:sz w:val="20"/>
        </w:rPr>
        <w:t xml:space="preserve">☐  </w:t>
      </w:r>
      <w:r>
        <w:rPr>
          <w:b w:val="0"/>
          <w:i w:val="0"/>
          <w:sz w:val="20"/>
        </w:rPr>
        <w:t>Soil sensitivity classified per RUSLE (K, R, LS); Low/Medium/High per Annex 1 Table 2</w:t>
      </w:r>
      <w:r>
        <w:rPr>
          <w:b w:val="0"/>
          <w:i/>
          <w:color w:val="555555"/>
          <w:sz w:val="18"/>
        </w:rPr>
        <w:t xml:space="preserve">  [GUI-01-013-01 Annex 1, Indicator #7]</w:t>
      </w:r>
    </w:p>
    <w:p>
      <w:pPr>
        <w:spacing w:after="40"/>
        <w:ind w:left="170"/>
      </w:pPr>
      <w:r>
        <w:rPr>
          <w:b w:val="0"/>
          <w:i w:val="0"/>
          <w:sz w:val="20"/>
        </w:rPr>
        <w:t xml:space="preserve">☐  </w:t>
      </w:r>
      <w:r>
        <w:rPr>
          <w:b w:val="0"/>
          <w:i w:val="0"/>
          <w:sz w:val="20"/>
        </w:rPr>
        <w:t>Minimum CWD retention: Low ≥ 10 m³, Medium ≥ 15 m³, High ≥ 20 m³</w:t>
      </w:r>
      <w:r>
        <w:rPr>
          <w:b w:val="0"/>
          <w:i/>
          <w:color w:val="555555"/>
          <w:sz w:val="18"/>
        </w:rPr>
        <w:t xml:space="preserve">  [GUI-01-013-01 Annex 1, Indicator #9]</w:t>
      </w:r>
    </w:p>
    <w:p>
      <w:pPr>
        <w:spacing w:after="40"/>
        <w:ind w:left="170"/>
      </w:pPr>
      <w:r>
        <w:rPr>
          <w:b w:val="0"/>
          <w:i w:val="0"/>
          <w:sz w:val="20"/>
        </w:rPr>
        <w:t xml:space="preserve">☐  </w:t>
      </w:r>
      <w:r>
        <w:rPr>
          <w:b w:val="0"/>
          <w:i w:val="0"/>
          <w:sz w:val="20"/>
        </w:rPr>
        <w:t>20% residue retention target oriented toward; documented in management plan (guidance, not hard requirement)</w:t>
      </w:r>
      <w:r>
        <w:rPr>
          <w:b w:val="0"/>
          <w:i/>
          <w:color w:val="555555"/>
          <w:sz w:val="18"/>
        </w:rPr>
        <w:t xml:space="preserve">  [GUI-01-013-01 §3.2, Annex 1 #4]</w:t>
      </w:r>
    </w:p>
    <w:p>
      <w:pPr>
        <w:spacing w:after="40"/>
        <w:ind w:left="170"/>
      </w:pPr>
      <w:r>
        <w:rPr>
          <w:b w:val="0"/>
          <w:i w:val="0"/>
          <w:sz w:val="20"/>
        </w:rPr>
        <w:t xml:space="preserve">☐  </w:t>
      </w:r>
      <w:r>
        <w:rPr>
          <w:b w:val="0"/>
          <w:i w:val="0"/>
          <w:sz w:val="20"/>
        </w:rPr>
        <w:t>Standing dead wood target ≥ 15 m³/ha documented in management plan (guidance)</w:t>
      </w:r>
      <w:r>
        <w:rPr>
          <w:b w:val="0"/>
          <w:i/>
          <w:color w:val="555555"/>
          <w:sz w:val="18"/>
        </w:rPr>
        <w:t xml:space="preserve">  [GUI-01-013-01 Annex 1, Indicator #5]</w:t>
      </w:r>
    </w:p>
    <w:p>
      <w:pPr>
        <w:spacing w:after="40"/>
        <w:ind w:left="170"/>
      </w:pPr>
      <w:r>
        <w:rPr>
          <w:b w:val="0"/>
          <w:i w:val="0"/>
          <w:sz w:val="20"/>
        </w:rPr>
        <w:t xml:space="preserve">☐  </w:t>
      </w:r>
      <w:r>
        <w:rPr>
          <w:b w:val="0"/>
          <w:i w:val="0"/>
          <w:sz w:val="20"/>
        </w:rPr>
        <w:t>Collection timing documented: after majority of needles/leaves have fallen</w:t>
      </w:r>
      <w:r>
        <w:rPr>
          <w:b w:val="0"/>
          <w:i/>
          <w:color w:val="555555"/>
          <w:sz w:val="18"/>
        </w:rPr>
        <w:t xml:space="preserve">  [GUI-01-013-01 §3.2.2(b)]</w:t>
      </w:r>
    </w:p>
    <w:p>
      <w:pPr>
        <w:spacing w:after="40"/>
        <w:ind w:left="170"/>
      </w:pPr>
      <w:r>
        <w:rPr>
          <w:b w:val="0"/>
          <w:i w:val="0"/>
          <w:sz w:val="20"/>
        </w:rPr>
        <w:t xml:space="preserve">☐  </w:t>
      </w:r>
      <w:r>
        <w:rPr>
          <w:b w:val="0"/>
          <w:i w:val="0"/>
          <w:sz w:val="20"/>
        </w:rPr>
        <w:t>Volume estimation method documented (allometric models, mass balance, or line intercept); precision and bias stated</w:t>
      </w:r>
      <w:r>
        <w:rPr>
          <w:b w:val="0"/>
          <w:i/>
          <w:color w:val="555555"/>
          <w:sz w:val="18"/>
        </w:rPr>
        <w:t xml:space="preserve">  [GUI-01-013-01 Annex 1, Indicator #2]</w:t>
      </w:r>
    </w:p>
    <w:p>
      <w:pPr>
        <w:spacing w:after="40"/>
        <w:ind w:left="170"/>
      </w:pPr>
      <w:r>
        <w:rPr>
          <w:b w:val="0"/>
          <w:i w:val="0"/>
          <w:sz w:val="20"/>
        </w:rPr>
        <w:t xml:space="preserve">☐  </w:t>
      </w:r>
      <w:r>
        <w:rPr>
          <w:b w:val="0"/>
          <w:i w:val="0"/>
          <w:sz w:val="20"/>
        </w:rPr>
        <w:t>Residue characterization documented (branch dimensions, ground disposition)</w:t>
      </w:r>
      <w:r>
        <w:rPr>
          <w:b w:val="0"/>
          <w:i/>
          <w:color w:val="555555"/>
          <w:sz w:val="18"/>
        </w:rPr>
        <w:t xml:space="preserve">  [GUI-01-013-01 Annex 1, Indicator #1]</w:t>
      </w:r>
    </w:p>
    <w:p>
      <w:pPr>
        <w:spacing w:after="40"/>
        <w:ind w:left="170"/>
      </w:pPr>
      <w:r>
        <w:rPr>
          <w:b w:val="0"/>
          <w:i w:val="0"/>
          <w:sz w:val="20"/>
        </w:rPr>
        <w:t xml:space="preserve">☐  </w:t>
      </w:r>
      <w:r>
        <w:rPr>
          <w:b w:val="0"/>
          <w:i w:val="0"/>
          <w:sz w:val="20"/>
        </w:rPr>
        <w:t>Supply chain eligibility procedure: visual confirmation guidelines + training program + internal audit system</w:t>
      </w:r>
      <w:r>
        <w:rPr>
          <w:b w:val="0"/>
          <w:i/>
          <w:color w:val="555555"/>
          <w:sz w:val="18"/>
        </w:rPr>
        <w:t xml:space="preserve">  [GUI-01-013-01 Annex 1, Indicator #3]</w:t>
      </w:r>
    </w:p>
    <w:p>
      <w:pPr>
        <w:spacing w:after="40"/>
        <w:ind w:left="170"/>
      </w:pPr>
      <w:r>
        <w:rPr>
          <w:b w:val="0"/>
          <w:i w:val="0"/>
          <w:sz w:val="20"/>
        </w:rPr>
        <w:t xml:space="preserve">☐  </w:t>
      </w:r>
      <w:r>
        <w:rPr>
          <w:b w:val="0"/>
          <w:i w:val="0"/>
          <w:sz w:val="20"/>
        </w:rPr>
        <w:t>Soil protection criteria explicitly included and enforced in all forest management plans</w:t>
      </w:r>
      <w:r>
        <w:rPr>
          <w:b w:val="0"/>
          <w:i/>
          <w:color w:val="555555"/>
          <w:sz w:val="18"/>
        </w:rPr>
        <w:t xml:space="preserve">  [GUI-01-013-01 Annex 1, Indicator #6]</w:t>
      </w:r>
    </w:p>
    <w:p>
      <w:pPr>
        <w:spacing w:after="40"/>
        <w:ind w:left="170"/>
      </w:pPr>
      <w:r>
        <w:rPr>
          <w:b w:val="0"/>
          <w:i w:val="0"/>
          <w:sz w:val="20"/>
        </w:rPr>
        <w:t xml:space="preserve">☐  </w:t>
      </w:r>
      <w:r>
        <w:rPr>
          <w:b w:val="0"/>
          <w:i w:val="0"/>
          <w:sz w:val="20"/>
        </w:rPr>
        <w:t>Country of origin: Paris Agreement party + NDC covering LULUCF (or management systems alternative documented)</w:t>
      </w:r>
      <w:r>
        <w:rPr>
          <w:b w:val="0"/>
          <w:i/>
          <w:color w:val="555555"/>
          <w:sz w:val="18"/>
        </w:rPr>
        <w:t xml:space="preserve">  [GUI-01-013-01 §3.5]</w:t>
      </w:r>
    </w:p>
    <w:p>
      <w:pPr>
        <w:spacing w:after="40"/>
        <w:ind w:left="170"/>
      </w:pPr>
      <w:r>
        <w:rPr>
          <w:b w:val="0"/>
          <w:i w:val="0"/>
          <w:sz w:val="20"/>
        </w:rPr>
        <w:t xml:space="preserve">☐  </w:t>
      </w:r>
      <w:r>
        <w:rPr>
          <w:b w:val="0"/>
          <w:i w:val="0"/>
          <w:sz w:val="20"/>
        </w:rPr>
        <w:t>GHG calculation begins at collection point; harvesting emissions excluded</w:t>
      </w:r>
      <w:r>
        <w:rPr>
          <w:b w:val="0"/>
          <w:i/>
          <w:color w:val="555555"/>
          <w:sz w:val="18"/>
        </w:rPr>
        <w:t xml:space="preserve">  [GUI-01-013-01 §3.3]</w:t>
      </w:r>
    </w:p>
    <w:p>
      <w:pPr>
        <w:spacing w:before="120" w:after="80"/>
      </w:pPr>
      <w:r>
        <w:rPr>
          <w:b/>
          <w:i w:val="0"/>
          <w:color w:val="003366"/>
          <w:sz w:val="24"/>
        </w:rPr>
        <w:t>B. Chain of Custody</w:t>
      </w:r>
    </w:p>
    <w:p>
      <w:pPr>
        <w:spacing w:after="40"/>
        <w:ind w:left="170"/>
      </w:pPr>
      <w:r>
        <w:rPr>
          <w:b w:val="0"/>
          <w:i w:val="0"/>
          <w:sz w:val="20"/>
        </w:rPr>
        <w:t xml:space="preserve">☐  </w:t>
      </w:r>
      <w:r>
        <w:rPr>
          <w:b w:val="0"/>
          <w:i w:val="0"/>
          <w:sz w:val="20"/>
        </w:rPr>
        <w:t>Mass Balance Fixed model established; balancing period target ≤ 2 months, hard limit ≤ 3 months</w:t>
      </w:r>
      <w:r>
        <w:rPr>
          <w:b w:val="0"/>
          <w:i/>
          <w:color w:val="555555"/>
          <w:sz w:val="18"/>
        </w:rPr>
        <w:t xml:space="preserve">  [STD-01-010 v2.8 §F]</w:t>
      </w:r>
    </w:p>
    <w:p>
      <w:pPr>
        <w:spacing w:after="40"/>
        <w:ind w:left="170"/>
      </w:pPr>
      <w:r>
        <w:rPr>
          <w:b w:val="0"/>
          <w:i w:val="0"/>
          <w:sz w:val="20"/>
        </w:rPr>
        <w:t xml:space="preserve">☐  </w:t>
      </w:r>
      <w:r>
        <w:rPr>
          <w:b w:val="0"/>
          <w:i w:val="0"/>
          <w:sz w:val="20"/>
        </w:rPr>
        <w:t>Separate mass balance accounts per product category</w:t>
      </w:r>
      <w:r>
        <w:rPr>
          <w:b w:val="0"/>
          <w:i/>
          <w:color w:val="555555"/>
          <w:sz w:val="18"/>
        </w:rPr>
        <w:t xml:space="preserve">  [STD-01-010 v2.8 §F]</w:t>
      </w:r>
    </w:p>
    <w:p>
      <w:pPr>
        <w:spacing w:after="40"/>
        <w:ind w:left="170"/>
      </w:pPr>
      <w:r>
        <w:rPr>
          <w:b w:val="0"/>
          <w:i w:val="0"/>
          <w:sz w:val="20"/>
        </w:rPr>
        <w:t xml:space="preserve">☐  </w:t>
      </w:r>
      <w:r>
        <w:rPr>
          <w:b w:val="0"/>
          <w:i w:val="0"/>
          <w:sz w:val="20"/>
        </w:rPr>
        <w:t>PoS documents contain all 16 required Annex I fields</w:t>
      </w:r>
      <w:r>
        <w:rPr>
          <w:b w:val="0"/>
          <w:i/>
          <w:color w:val="555555"/>
          <w:sz w:val="18"/>
        </w:rPr>
        <w:t xml:space="preserve">  [STD-01-010 v2.8 Annex I]</w:t>
      </w:r>
    </w:p>
    <w:p>
      <w:pPr>
        <w:spacing w:after="40"/>
        <w:ind w:left="170"/>
      </w:pPr>
      <w:r>
        <w:rPr>
          <w:b w:val="0"/>
          <w:i w:val="0"/>
          <w:sz w:val="20"/>
        </w:rPr>
        <w:t xml:space="preserve">☐  </w:t>
      </w:r>
      <w:r>
        <w:rPr>
          <w:b w:val="0"/>
          <w:i w:val="0"/>
          <w:sz w:val="20"/>
        </w:rPr>
        <w:t>Book-and-claim system active from blend point onward</w:t>
      </w:r>
      <w:r>
        <w:rPr>
          <w:b w:val="0"/>
          <w:i/>
          <w:color w:val="555555"/>
          <w:sz w:val="18"/>
        </w:rPr>
        <w:t xml:space="preserve">  [STD-01-010 v2.8 §2.4.5]</w:t>
      </w:r>
    </w:p>
    <w:p>
      <w:pPr>
        <w:spacing w:after="40"/>
        <w:ind w:left="170"/>
      </w:pPr>
      <w:r>
        <w:rPr>
          <w:b w:val="0"/>
          <w:i w:val="0"/>
          <w:sz w:val="20"/>
        </w:rPr>
        <w:t xml:space="preserve">☐  </w:t>
      </w:r>
      <w:r>
        <w:rPr>
          <w:b w:val="0"/>
          <w:i w:val="0"/>
          <w:sz w:val="20"/>
        </w:rPr>
        <w:t>Records retained; sufficient for full traceability audit (min 5 years)</w:t>
      </w:r>
      <w:r>
        <w:rPr>
          <w:b w:val="0"/>
          <w:i/>
          <w:color w:val="555555"/>
          <w:sz w:val="18"/>
        </w:rPr>
        <w:t xml:space="preserve">  [STD-01-010 v2.8 §F.1.6.2]</w:t>
      </w:r>
    </w:p>
    <w:p>
      <w:pPr>
        <w:spacing w:after="40"/>
        <w:ind w:left="170"/>
      </w:pPr>
      <w:r>
        <w:rPr>
          <w:b w:val="0"/>
          <w:i w:val="0"/>
          <w:sz w:val="20"/>
        </w:rPr>
        <w:t xml:space="preserve">☐  </w:t>
      </w:r>
      <w:r>
        <w:rPr>
          <w:b w:val="0"/>
          <w:i w:val="0"/>
          <w:sz w:val="20"/>
        </w:rPr>
        <w:t>Refinery partner holds RSB certification as participating operator [OCI-3]</w:t>
      </w:r>
      <w:r>
        <w:rPr>
          <w:b w:val="0"/>
          <w:i/>
          <w:color w:val="555555"/>
          <w:sz w:val="18"/>
        </w:rPr>
        <w:t xml:space="preserve">  [STD-01-010 v2.8 (supply chain)]</w:t>
      </w:r>
    </w:p>
    <w:p>
      <w:pPr>
        <w:spacing w:before="120" w:after="80"/>
      </w:pPr>
      <w:r>
        <w:rPr>
          <w:b/>
          <w:i w:val="0"/>
          <w:color w:val="003366"/>
          <w:sz w:val="24"/>
        </w:rPr>
        <w:t>C. GHG Calculation</w:t>
      </w:r>
    </w:p>
    <w:p>
      <w:pPr>
        <w:spacing w:before="40" w:after="80"/>
      </w:pPr>
      <w:r>
        <w:rPr>
          <w:b w:val="0"/>
          <w:i/>
          <w:color w:val="555555"/>
          <w:sz w:val="18"/>
        </w:rPr>
        <w:t>Items marked [OCI-2] are contingent on confirming GUI-PG-2025-02 applies to RSB Global pathway.</w:t>
      </w:r>
    </w:p>
    <w:p>
      <w:pPr>
        <w:spacing w:after="40"/>
        <w:ind w:left="170"/>
      </w:pPr>
      <w:r>
        <w:rPr>
          <w:b w:val="0"/>
          <w:i w:val="0"/>
          <w:sz w:val="20"/>
        </w:rPr>
        <w:t xml:space="preserve">☐  </w:t>
      </w:r>
      <w:r>
        <w:rPr>
          <w:b w:val="0"/>
          <w:i w:val="0"/>
          <w:sz w:val="20"/>
        </w:rPr>
        <w:t>E_biofuel formula applied: e_upstream + e_processing + e_transport + e_fuel_in_use</w:t>
      </w:r>
      <w:r>
        <w:rPr>
          <w:b w:val="0"/>
          <w:i/>
          <w:color w:val="555555"/>
          <w:sz w:val="18"/>
        </w:rPr>
        <w:t xml:space="preserve">  [STD-01-003-01 v3.2 §B.1]</w:t>
      </w:r>
    </w:p>
    <w:p>
      <w:pPr>
        <w:spacing w:after="40"/>
        <w:ind w:left="170"/>
      </w:pPr>
      <w:r>
        <w:rPr>
          <w:b w:val="0"/>
          <w:i w:val="0"/>
          <w:sz w:val="20"/>
        </w:rPr>
        <w:t xml:space="preserve">☐  </w:t>
      </w:r>
      <w:r>
        <w:rPr>
          <w:b w:val="0"/>
          <w:i w:val="0"/>
          <w:sz w:val="20"/>
        </w:rPr>
        <w:t>e_upstream: transport from collection point to Charm facility calculated (distance × EF)</w:t>
      </w:r>
      <w:r>
        <w:rPr>
          <w:b w:val="0"/>
          <w:i/>
          <w:color w:val="555555"/>
          <w:sz w:val="18"/>
        </w:rPr>
        <w:t xml:space="preserve">  [STD-01-003-01 v3.2 §B.1]</w:t>
      </w:r>
    </w:p>
    <w:p>
      <w:pPr>
        <w:spacing w:after="40"/>
        <w:ind w:left="170"/>
      </w:pPr>
      <w:r>
        <w:rPr>
          <w:b w:val="0"/>
          <w:i w:val="0"/>
          <w:sz w:val="20"/>
        </w:rPr>
        <w:t xml:space="preserve">☐  </w:t>
      </w:r>
      <w:r>
        <w:rPr>
          <w:b w:val="0"/>
          <w:i w:val="0"/>
          <w:sz w:val="20"/>
        </w:rPr>
        <w:t>e_processing (Charm pyrolysis): energy inputs documented; allocation between bio-oil and biochar applied</w:t>
      </w:r>
      <w:r>
        <w:rPr>
          <w:b w:val="0"/>
          <w:i/>
          <w:color w:val="555555"/>
          <w:sz w:val="18"/>
        </w:rPr>
        <w:t xml:space="preserve">  [STD-01-003-01 v3.2 §B.9]</w:t>
      </w:r>
    </w:p>
    <w:p>
      <w:pPr>
        <w:spacing w:after="40"/>
        <w:ind w:left="170"/>
      </w:pPr>
      <w:r>
        <w:rPr>
          <w:b w:val="0"/>
          <w:i w:val="0"/>
          <w:sz w:val="20"/>
        </w:rPr>
        <w:t xml:space="preserve">☐  </w:t>
      </w:r>
      <w:r>
        <w:rPr>
          <w:b w:val="0"/>
          <w:i w:val="0"/>
          <w:sz w:val="20"/>
        </w:rPr>
        <w:t>e_processing (co-processing): (E_total × F_bio)/(F_bio + F_fossil) + e_additional applied</w:t>
      </w:r>
      <w:r>
        <w:rPr>
          <w:b w:val="0"/>
          <w:i/>
          <w:color w:val="555555"/>
          <w:sz w:val="18"/>
        </w:rPr>
        <w:t xml:space="preserve">  [GUI-PG-2025-02 §6.1 [OCI-2]]</w:t>
      </w:r>
    </w:p>
    <w:p>
      <w:pPr>
        <w:spacing w:after="40"/>
        <w:ind w:left="170"/>
      </w:pPr>
      <w:r>
        <w:rPr>
          <w:b w:val="0"/>
          <w:i w:val="0"/>
          <w:sz w:val="20"/>
        </w:rPr>
        <w:t xml:space="preserve">☐  </w:t>
      </w:r>
      <w:r>
        <w:rPr>
          <w:b w:val="0"/>
          <w:i w:val="0"/>
          <w:sz w:val="20"/>
        </w:rPr>
        <w:t>e_additional documented: incremental energy/reagents specific to bio-oil processing including their upstream emissions</w:t>
      </w:r>
      <w:r>
        <w:rPr>
          <w:b w:val="0"/>
          <w:i/>
          <w:color w:val="555555"/>
          <w:sz w:val="18"/>
        </w:rPr>
        <w:t xml:space="preserve">  [GUI-PG-2025-02 §6.1 [OCI-2]]</w:t>
      </w:r>
    </w:p>
    <w:p>
      <w:pPr>
        <w:spacing w:after="40"/>
        <w:ind w:left="170"/>
      </w:pPr>
      <w:r>
        <w:rPr>
          <w:b w:val="0"/>
          <w:i w:val="0"/>
          <w:sz w:val="20"/>
        </w:rPr>
        <w:t xml:space="preserve">☐  </w:t>
      </w:r>
      <w:r>
        <w:rPr>
          <w:b w:val="0"/>
          <w:i w:val="0"/>
          <w:sz w:val="20"/>
        </w:rPr>
        <w:t>e_transport: bio-oil to refinery calculated; specific data or RED II disaggregated default applied</w:t>
      </w:r>
      <w:r>
        <w:rPr>
          <w:b w:val="0"/>
          <w:i/>
          <w:color w:val="555555"/>
          <w:sz w:val="18"/>
        </w:rPr>
        <w:t xml:space="preserve">  [GUI-PG-2025-02 §6.1 [OCI-2]]</w:t>
      </w:r>
    </w:p>
    <w:p>
      <w:pPr>
        <w:spacing w:after="40"/>
        <w:ind w:left="170"/>
      </w:pPr>
      <w:r>
        <w:rPr>
          <w:b w:val="0"/>
          <w:i w:val="0"/>
          <w:sz w:val="20"/>
        </w:rPr>
        <w:t xml:space="preserve">☐  </w:t>
      </w:r>
      <w:r>
        <w:rPr>
          <w:b w:val="0"/>
          <w:i w:val="0"/>
          <w:sz w:val="20"/>
        </w:rPr>
        <w:t>e_fuel_in_use: RED II Annex V value applied for fuel type</w:t>
      </w:r>
      <w:r>
        <w:rPr>
          <w:b w:val="0"/>
          <w:i/>
          <w:color w:val="555555"/>
          <w:sz w:val="18"/>
        </w:rPr>
        <w:t xml:space="preserve">  [GUI-PG-2025-02 §6.1 [OCI-2]]</w:t>
      </w:r>
    </w:p>
    <w:p>
      <w:pPr>
        <w:spacing w:after="40"/>
        <w:ind w:left="170"/>
      </w:pPr>
      <w:r>
        <w:rPr>
          <w:b w:val="0"/>
          <w:i w:val="0"/>
          <w:sz w:val="20"/>
        </w:rPr>
        <w:t xml:space="preserve">☐  </w:t>
      </w:r>
      <w:r>
        <w:rPr>
          <w:b w:val="0"/>
          <w:i w:val="0"/>
          <w:sz w:val="20"/>
        </w:rPr>
        <w:t>ηCi measured annually at each co-processing site; precision and bias documented</w:t>
      </w:r>
      <w:r>
        <w:rPr>
          <w:b w:val="0"/>
          <w:i/>
          <w:color w:val="555555"/>
          <w:sz w:val="18"/>
        </w:rPr>
        <w:t xml:space="preserve">  [STD-01-010 v2.8 Annex IV]</w:t>
      </w:r>
    </w:p>
    <w:p>
      <w:pPr>
        <w:spacing w:after="40"/>
        <w:ind w:left="170"/>
      </w:pPr>
      <w:r>
        <w:rPr>
          <w:b w:val="0"/>
          <w:i w:val="0"/>
          <w:sz w:val="20"/>
        </w:rPr>
        <w:t xml:space="preserve">☐  </w:t>
      </w:r>
      <w:r>
        <w:rPr>
          <w:b w:val="0"/>
          <w:i w:val="0"/>
          <w:sz w:val="20"/>
        </w:rPr>
        <w:t>Multi-site ηCi: if ≤5% difference → use lower value; if &gt;5% → treat sites separately</w:t>
      </w:r>
      <w:r>
        <w:rPr>
          <w:b w:val="0"/>
          <w:i/>
          <w:color w:val="555555"/>
          <w:sz w:val="18"/>
        </w:rPr>
        <w:t xml:space="preserve">  [STD-01-010 v2.8 Annex IV]</w:t>
      </w:r>
    </w:p>
    <w:p>
      <w:pPr>
        <w:spacing w:after="40"/>
        <w:ind w:left="170"/>
      </w:pPr>
      <w:r>
        <w:rPr>
          <w:b w:val="0"/>
          <w:i w:val="0"/>
          <w:sz w:val="20"/>
        </w:rPr>
        <w:t xml:space="preserve">☐  </w:t>
      </w:r>
      <w:r>
        <w:rPr>
          <w:b w:val="0"/>
          <w:i w:val="0"/>
          <w:sz w:val="20"/>
        </w:rPr>
        <w:t>Flexible attribution Step 1: Output_eligiblecarbon = m_eligible_f × Carbon content × ηCi documented</w:t>
      </w:r>
      <w:r>
        <w:rPr>
          <w:b w:val="0"/>
          <w:i/>
          <w:color w:val="555555"/>
          <w:sz w:val="18"/>
        </w:rPr>
        <w:t xml:space="preserve">  [STD-01-010 v2.8 Annex IV]</w:t>
      </w:r>
    </w:p>
    <w:p>
      <w:pPr>
        <w:spacing w:after="40"/>
        <w:ind w:left="170"/>
      </w:pPr>
      <w:r>
        <w:rPr>
          <w:b w:val="0"/>
          <w:i w:val="0"/>
          <w:sz w:val="20"/>
        </w:rPr>
        <w:t xml:space="preserve">☐  </w:t>
      </w:r>
      <w:r>
        <w:rPr>
          <w:b w:val="0"/>
          <w:i w:val="0"/>
          <w:sz w:val="20"/>
        </w:rPr>
        <w:t>Flexible attribution Step 2: TS_adv,fuel = Output_eligiblecarbon × Output_Carboncontent; product designation documented</w:t>
      </w:r>
      <w:r>
        <w:rPr>
          <w:b w:val="0"/>
          <w:i/>
          <w:color w:val="555555"/>
          <w:sz w:val="18"/>
        </w:rPr>
        <w:t xml:space="preserve">  [STD-01-010 v2.8 Annex IV]</w:t>
      </w:r>
    </w:p>
    <w:p>
      <w:pPr>
        <w:spacing w:after="40"/>
        <w:ind w:left="170"/>
      </w:pPr>
      <w:r>
        <w:rPr>
          <w:b w:val="0"/>
          <w:i w:val="0"/>
          <w:sz w:val="20"/>
        </w:rPr>
        <w:t xml:space="preserve">☐  </w:t>
      </w:r>
      <w:r>
        <w:rPr>
          <w:b w:val="0"/>
          <w:i w:val="0"/>
          <w:sz w:val="20"/>
        </w:rPr>
        <w:t>Flexible attribution Step 3: GHG intensity calculated; AF = LHV_af / Total energy output applied; carbon-mass vs. energy-basis distinction documented</w:t>
      </w:r>
      <w:r>
        <w:rPr>
          <w:b w:val="0"/>
          <w:i/>
          <w:color w:val="555555"/>
          <w:sz w:val="18"/>
        </w:rPr>
        <w:t xml:space="preserve">  [STD-01-010 v2.8 Annex IV]</w:t>
      </w:r>
    </w:p>
    <w:p>
      <w:pPr>
        <w:spacing w:after="40"/>
        <w:ind w:left="170"/>
      </w:pPr>
      <w:r>
        <w:rPr>
          <w:b w:val="0"/>
          <w:i w:val="0"/>
          <w:sz w:val="20"/>
        </w:rPr>
        <w:t xml:space="preserve">☐  </w:t>
      </w:r>
      <w:r>
        <w:rPr>
          <w:b w:val="0"/>
          <w:i w:val="0"/>
          <w:sz w:val="20"/>
        </w:rPr>
        <w:t>GHG savings ≥ 65% vs. fossil comparator of 90 g CO₂eq/MJ (E_biofuel ≤ 31.5 g CO₂eq/MJ)</w:t>
      </w:r>
      <w:r>
        <w:rPr>
          <w:b w:val="0"/>
          <w:i/>
          <w:color w:val="555555"/>
          <w:sz w:val="18"/>
        </w:rPr>
        <w:t xml:space="preserve">  [STD-01-003-01 v3.2 Table 2]</w:t>
      </w:r>
    </w:p>
    <w:p>
      <w:pPr>
        <w:spacing w:after="40"/>
        <w:ind w:left="170"/>
      </w:pPr>
      <w:r>
        <w:rPr>
          <w:b w:val="0"/>
          <w:i w:val="0"/>
          <w:sz w:val="20"/>
        </w:rPr>
        <w:t xml:space="preserve">☐  </w:t>
      </w:r>
      <w:r>
        <w:rPr>
          <w:b w:val="0"/>
          <w:i w:val="0"/>
          <w:sz w:val="20"/>
        </w:rPr>
        <w:t>GHG intensity stated on all PoS documents</w:t>
      </w:r>
      <w:r>
        <w:rPr>
          <w:b w:val="0"/>
          <w:i/>
          <w:color w:val="555555"/>
          <w:sz w:val="18"/>
        </w:rPr>
        <w:t xml:space="preserve">  [STD-01-010 v2.8 Annex I]</w:t>
      </w:r>
    </w:p>
    <w:p>
      <w:pPr>
        <w:spacing w:before="120" w:after="80"/>
      </w:pPr>
      <w:r>
        <w:rPr>
          <w:b/>
          <w:i w:val="0"/>
          <w:color w:val="003366"/>
          <w:sz w:val="24"/>
        </w:rPr>
        <w:t>D. Sustainability Criteria (RSB P&amp;C)</w:t>
      </w:r>
    </w:p>
    <w:p>
      <w:pPr>
        <w:spacing w:after="40"/>
        <w:ind w:left="170"/>
      </w:pPr>
      <w:r>
        <w:rPr>
          <w:b w:val="0"/>
          <w:i w:val="0"/>
          <w:sz w:val="20"/>
        </w:rPr>
        <w:t xml:space="preserve">☐  </w:t>
      </w:r>
      <w:r>
        <w:rPr>
          <w:b w:val="0"/>
          <w:i w:val="0"/>
          <w:sz w:val="20"/>
        </w:rPr>
        <w:t>No conversion of high carbon stock or high biodiversity value land</w:t>
      </w:r>
      <w:r>
        <w:rPr>
          <w:b w:val="0"/>
          <w:i/>
          <w:color w:val="555555"/>
          <w:sz w:val="18"/>
        </w:rPr>
        <w:t xml:space="preserve">  [RSB-STD-01-001 v4.1]</w:t>
      </w:r>
    </w:p>
    <w:p>
      <w:pPr>
        <w:spacing w:after="40"/>
        <w:ind w:left="170"/>
      </w:pPr>
      <w:r>
        <w:rPr>
          <w:b w:val="0"/>
          <w:i w:val="0"/>
          <w:sz w:val="20"/>
        </w:rPr>
        <w:t xml:space="preserve">☐  </w:t>
      </w:r>
      <w:r>
        <w:rPr>
          <w:b w:val="0"/>
          <w:i w:val="0"/>
          <w:sz w:val="20"/>
        </w:rPr>
        <w:t>No significant degradation of soil or water quality at sourcing sites</w:t>
      </w:r>
      <w:r>
        <w:rPr>
          <w:b w:val="0"/>
          <w:i/>
          <w:color w:val="555555"/>
          <w:sz w:val="18"/>
        </w:rPr>
        <w:t xml:space="preserve">  [RSB-STD-01-001 v4.1]</w:t>
      </w:r>
    </w:p>
    <w:p>
      <w:pPr>
        <w:spacing w:after="40"/>
        <w:ind w:left="170"/>
      </w:pPr>
      <w:r>
        <w:rPr>
          <w:b w:val="0"/>
          <w:i w:val="0"/>
          <w:sz w:val="20"/>
        </w:rPr>
        <w:t xml:space="preserve">☐  </w:t>
      </w:r>
      <w:r>
        <w:rPr>
          <w:b w:val="0"/>
          <w:i w:val="0"/>
          <w:sz w:val="20"/>
        </w:rPr>
        <w:t>No significant impacts on threatened or protected species</w:t>
      </w:r>
      <w:r>
        <w:rPr>
          <w:b w:val="0"/>
          <w:i/>
          <w:color w:val="555555"/>
          <w:sz w:val="18"/>
        </w:rPr>
        <w:t xml:space="preserve">  [RSB-STD-01-001 v4.1]</w:t>
      </w:r>
    </w:p>
    <w:p>
      <w:pPr>
        <w:spacing w:after="40"/>
        <w:ind w:left="170"/>
      </w:pPr>
      <w:r>
        <w:rPr>
          <w:b w:val="0"/>
          <w:i w:val="0"/>
          <w:sz w:val="20"/>
        </w:rPr>
        <w:t xml:space="preserve">☐  </w:t>
      </w:r>
      <w:r>
        <w:rPr>
          <w:b w:val="0"/>
          <w:i w:val="0"/>
          <w:sz w:val="20"/>
        </w:rPr>
        <w:t>No violation of legitimate land tenure or use rights</w:t>
      </w:r>
      <w:r>
        <w:rPr>
          <w:b w:val="0"/>
          <w:i/>
          <w:color w:val="555555"/>
          <w:sz w:val="18"/>
        </w:rPr>
        <w:t xml:space="preserve">  [RSB-STD-01-001 v4.1]</w:t>
      </w:r>
    </w:p>
    <w:p>
      <w:pPr>
        <w:spacing w:after="40"/>
        <w:ind w:left="170"/>
      </w:pPr>
      <w:r>
        <w:rPr>
          <w:b w:val="0"/>
          <w:i w:val="0"/>
          <w:sz w:val="20"/>
        </w:rPr>
        <w:t xml:space="preserve">☐  </w:t>
      </w:r>
      <w:r>
        <w:rPr>
          <w:b w:val="0"/>
          <w:i w:val="0"/>
          <w:sz w:val="20"/>
        </w:rPr>
        <w:t>Compliance with ILO core conventions at all supply chain sites</w:t>
      </w:r>
      <w:r>
        <w:rPr>
          <w:b w:val="0"/>
          <w:i/>
          <w:color w:val="555555"/>
          <w:sz w:val="18"/>
        </w:rPr>
        <w:t xml:space="preserve">  [RSB-STD-01-001 v4.1]</w:t>
      </w:r>
    </w:p>
    <w:p>
      <w:pPr>
        <w:spacing w:after="40"/>
        <w:ind w:left="170"/>
      </w:pPr>
      <w:r>
        <w:rPr>
          <w:b w:val="0"/>
          <w:i w:val="0"/>
          <w:sz w:val="20"/>
        </w:rPr>
        <w:t xml:space="preserve">☐  </w:t>
      </w:r>
      <w:r>
        <w:rPr>
          <w:b w:val="0"/>
          <w:i w:val="0"/>
          <w:sz w:val="20"/>
        </w:rPr>
        <w:t>Biomass sourcing does not displace local food production</w:t>
      </w:r>
      <w:r>
        <w:rPr>
          <w:b w:val="0"/>
          <w:i/>
          <w:color w:val="555555"/>
          <w:sz w:val="18"/>
        </w:rPr>
        <w:t xml:space="preserve">  [RSB-STD-01-001 v4.1]</w:t>
      </w:r>
    </w:p>
    <w:p>
      <w:r>
        <w:br w:type="page"/>
      </w:r>
    </w:p>
    <w:p>
      <w:pPr>
        <w:spacing w:before="200" w:after="80"/>
      </w:pPr>
      <w:r>
        <w:rPr>
          <w:b/>
          <w:i w:val="0"/>
          <w:caps/>
          <w:color w:val="003366"/>
          <w:sz w:val="30"/>
        </w:rPr>
        <w:t>PART 8: RISK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b/>
                <w:i w:val="0"/>
                <w:color w:val="FFFFFF"/>
                <w:sz w:val="20"/>
              </w:rPr>
              <w:t>Risk ID</w:t>
            </w:r>
          </w:p>
        </w:tc>
        <w:tc>
          <w:tcPr>
            <w:tcW w:type="dxa" w:w="1872"/>
            <w:shd w:val="clear" w:color="auto" w:fill="003366"/>
          </w:tcPr>
          <w:p>
            <w:r>
              <w:rPr>
                <w:b/>
                <w:i w:val="0"/>
                <w:color w:val="FFFFFF"/>
                <w:sz w:val="20"/>
              </w:rPr>
              <w:t>Description</w:t>
            </w:r>
          </w:p>
        </w:tc>
        <w:tc>
          <w:tcPr>
            <w:tcW w:type="dxa" w:w="1872"/>
            <w:shd w:val="clear" w:color="auto" w:fill="003366"/>
          </w:tcPr>
          <w:p>
            <w:r>
              <w:rPr>
                <w:b/>
                <w:i w:val="0"/>
                <w:color w:val="FFFFFF"/>
                <w:sz w:val="20"/>
              </w:rPr>
              <w:t>Probability</w:t>
            </w:r>
          </w:p>
        </w:tc>
        <w:tc>
          <w:tcPr>
            <w:tcW w:type="dxa" w:w="1872"/>
            <w:shd w:val="clear" w:color="auto" w:fill="003366"/>
          </w:tcPr>
          <w:p>
            <w:r>
              <w:rPr>
                <w:b/>
                <w:i w:val="0"/>
                <w:color w:val="FFFFFF"/>
                <w:sz w:val="20"/>
              </w:rPr>
              <w:t>Impact</w:t>
            </w:r>
          </w:p>
        </w:tc>
        <w:tc>
          <w:tcPr>
            <w:tcW w:type="dxa" w:w="1872"/>
            <w:shd w:val="clear" w:color="auto" w:fill="003366"/>
          </w:tcPr>
          <w:p>
            <w:r>
              <w:rPr>
                <w:b/>
                <w:i w:val="0"/>
                <w:color w:val="FFFFFF"/>
                <w:sz w:val="20"/>
              </w:rPr>
              <w:t>Mitigation</w:t>
            </w:r>
          </w:p>
        </w:tc>
      </w:tr>
      <w:tr>
        <w:tc>
          <w:tcPr>
            <w:tcW w:type="dxa" w:w="1872"/>
          </w:tcPr>
          <w:p>
            <w:r>
              <w:rPr>
                <w:b w:val="0"/>
                <w:i w:val="0"/>
                <w:sz w:val="18"/>
              </w:rPr>
              <w:t>R1</w:t>
            </w:r>
          </w:p>
        </w:tc>
        <w:tc>
          <w:tcPr>
            <w:tcW w:type="dxa" w:w="1872"/>
          </w:tcPr>
          <w:p>
            <w:r>
              <w:rPr>
                <w:b w:val="0"/>
                <w:i w:val="0"/>
                <w:sz w:val="18"/>
              </w:rPr>
              <w:t>RSB-GUI-01-013-01 does not apply to RSB Global pathway — separate or undeveloped framework applies, creating forestry residue certification uncertainty</w:t>
            </w:r>
          </w:p>
        </w:tc>
        <w:tc>
          <w:tcPr>
            <w:tcW w:type="dxa" w:w="1872"/>
          </w:tcPr>
          <w:p>
            <w:r>
              <w:rPr>
                <w:b w:val="0"/>
                <w:i w:val="0"/>
                <w:sz w:val="18"/>
              </w:rPr>
              <w:t>Medium</w:t>
            </w:r>
          </w:p>
        </w:tc>
        <w:tc>
          <w:tcPr>
            <w:tcW w:type="dxa" w:w="1872"/>
          </w:tcPr>
          <w:p>
            <w:r>
              <w:rPr>
                <w:b w:val="0"/>
                <w:i w:val="0"/>
                <w:sz w:val="18"/>
              </w:rPr>
              <w:t>High</w:t>
            </w:r>
          </w:p>
        </w:tc>
        <w:tc>
          <w:tcPr>
            <w:tcW w:type="dxa" w:w="1872"/>
          </w:tcPr>
          <w:p>
            <w:r>
              <w:rPr>
                <w:b w:val="0"/>
                <w:i w:val="0"/>
                <w:sz w:val="18"/>
              </w:rPr>
              <w:t>Immediate RSB Secretariat query (OCI-1). If inapplicable, identify what equivalent forestry residue requirements exist under STD-01-010.</w:t>
            </w:r>
          </w:p>
        </w:tc>
      </w:tr>
      <w:tr>
        <w:tc>
          <w:tcPr>
            <w:tcW w:type="dxa" w:w="1872"/>
          </w:tcPr>
          <w:p>
            <w:r>
              <w:rPr>
                <w:b w:val="0"/>
                <w:i w:val="0"/>
                <w:sz w:val="18"/>
              </w:rPr>
              <w:t>R2</w:t>
            </w:r>
          </w:p>
        </w:tc>
        <w:tc>
          <w:tcPr>
            <w:tcW w:type="dxa" w:w="1872"/>
          </w:tcPr>
          <w:p>
            <w:r>
              <w:rPr>
                <w:b w:val="0"/>
                <w:i w:val="0"/>
                <w:sz w:val="18"/>
              </w:rPr>
              <w:t>RSB-GUI-PG-2025-02 co-processing GHG methodology does not apply to RSB Global — no published guidance for RSB Global co-processing GHG exists</w:t>
            </w:r>
          </w:p>
        </w:tc>
        <w:tc>
          <w:tcPr>
            <w:tcW w:type="dxa" w:w="1872"/>
          </w:tcPr>
          <w:p>
            <w:r>
              <w:rPr>
                <w:b w:val="0"/>
                <w:i w:val="0"/>
                <w:sz w:val="18"/>
              </w:rPr>
              <w:t>Medium</w:t>
            </w:r>
          </w:p>
        </w:tc>
        <w:tc>
          <w:tcPr>
            <w:tcW w:type="dxa" w:w="1872"/>
          </w:tcPr>
          <w:p>
            <w:r>
              <w:rPr>
                <w:b w:val="0"/>
                <w:i w:val="0"/>
                <w:sz w:val="18"/>
              </w:rPr>
              <w:t>Medium</w:t>
            </w:r>
          </w:p>
        </w:tc>
        <w:tc>
          <w:tcPr>
            <w:tcW w:type="dxa" w:w="1872"/>
          </w:tcPr>
          <w:p>
            <w:r>
              <w:rPr>
                <w:b w:val="0"/>
                <w:i w:val="0"/>
                <w:sz w:val="18"/>
              </w:rPr>
              <w:t>Immediate RSB Secretariat query (OCI-2). STD-01-003-01 v3.2 B.10 may provide sufficient basis via virtual split approach even without the guidance document.</w:t>
            </w:r>
          </w:p>
        </w:tc>
      </w:tr>
      <w:tr>
        <w:tc>
          <w:tcPr>
            <w:tcW w:type="dxa" w:w="1872"/>
          </w:tcPr>
          <w:p>
            <w:r>
              <w:rPr>
                <w:b w:val="0"/>
                <w:i w:val="0"/>
                <w:sz w:val="18"/>
              </w:rPr>
              <w:t>R3</w:t>
            </w:r>
          </w:p>
        </w:tc>
        <w:tc>
          <w:tcPr>
            <w:tcW w:type="dxa" w:w="1872"/>
          </w:tcPr>
          <w:p>
            <w:r>
              <w:rPr>
                <w:b w:val="0"/>
                <w:i w:val="0"/>
                <w:sz w:val="18"/>
              </w:rPr>
              <w:t>Refinery partner is not RSB certified and cannot obtain certification within Charm's timeline</w:t>
            </w:r>
          </w:p>
        </w:tc>
        <w:tc>
          <w:tcPr>
            <w:tcW w:type="dxa" w:w="1872"/>
          </w:tcPr>
          <w:p>
            <w:r>
              <w:rPr>
                <w:b w:val="0"/>
                <w:i w:val="0"/>
                <w:sz w:val="18"/>
              </w:rPr>
              <w:t>Medium</w:t>
            </w:r>
          </w:p>
        </w:tc>
        <w:tc>
          <w:tcPr>
            <w:tcW w:type="dxa" w:w="1872"/>
          </w:tcPr>
          <w:p>
            <w:r>
              <w:rPr>
                <w:b w:val="0"/>
                <w:i w:val="0"/>
                <w:sz w:val="18"/>
              </w:rPr>
              <w:t>High</w:t>
            </w:r>
          </w:p>
        </w:tc>
        <w:tc>
          <w:tcPr>
            <w:tcW w:type="dxa" w:w="1872"/>
          </w:tcPr>
          <w:p>
            <w:r>
              <w:rPr>
                <w:b w:val="0"/>
                <w:i w:val="0"/>
                <w:sz w:val="18"/>
              </w:rPr>
              <w:t>Immediate engagement with partner. Agree RSB certification timeline as condition of commercial arrangement. Consider alternative refinery partners with existing RSB certification.</w:t>
            </w:r>
          </w:p>
        </w:tc>
      </w:tr>
      <w:tr>
        <w:tc>
          <w:tcPr>
            <w:tcW w:type="dxa" w:w="1872"/>
          </w:tcPr>
          <w:p>
            <w:r>
              <w:rPr>
                <w:b w:val="0"/>
                <w:i w:val="0"/>
                <w:sz w:val="18"/>
              </w:rPr>
              <w:t>R4</w:t>
            </w:r>
          </w:p>
        </w:tc>
        <w:tc>
          <w:tcPr>
            <w:tcW w:type="dxa" w:w="1872"/>
          </w:tcPr>
          <w:p>
            <w:r>
              <w:rPr>
                <w:b w:val="0"/>
                <w:i w:val="0"/>
                <w:sz w:val="18"/>
              </w:rPr>
              <w:t>Biomass suppliers lack FSC or RSB certification</w:t>
            </w:r>
          </w:p>
        </w:tc>
        <w:tc>
          <w:tcPr>
            <w:tcW w:type="dxa" w:w="1872"/>
          </w:tcPr>
          <w:p>
            <w:r>
              <w:rPr>
                <w:b w:val="0"/>
                <w:i w:val="0"/>
                <w:sz w:val="18"/>
              </w:rPr>
              <w:t>Medium</w:t>
            </w:r>
          </w:p>
        </w:tc>
        <w:tc>
          <w:tcPr>
            <w:tcW w:type="dxa" w:w="1872"/>
          </w:tcPr>
          <w:p>
            <w:r>
              <w:rPr>
                <w:b w:val="0"/>
                <w:i w:val="0"/>
                <w:sz w:val="18"/>
              </w:rPr>
              <w:t>High</w:t>
            </w:r>
          </w:p>
        </w:tc>
        <w:tc>
          <w:tcPr>
            <w:tcW w:type="dxa" w:w="1872"/>
          </w:tcPr>
          <w:p>
            <w:r>
              <w:rPr>
                <w:b w:val="0"/>
                <w:i w:val="0"/>
                <w:sz w:val="18"/>
              </w:rPr>
              <w:t>Audit current supplier certification status. Build RSB/FSC certification into supply agreements; allow 12-month transition period for existing suppliers.</w:t>
            </w:r>
          </w:p>
        </w:tc>
      </w:tr>
      <w:tr>
        <w:tc>
          <w:tcPr>
            <w:tcW w:type="dxa" w:w="1872"/>
          </w:tcPr>
          <w:p>
            <w:r>
              <w:rPr>
                <w:b w:val="0"/>
                <w:i w:val="0"/>
                <w:sz w:val="18"/>
              </w:rPr>
              <w:t>R5</w:t>
            </w:r>
          </w:p>
        </w:tc>
        <w:tc>
          <w:tcPr>
            <w:tcW w:type="dxa" w:w="1872"/>
          </w:tcPr>
          <w:p>
            <w:r>
              <w:rPr>
                <w:b w:val="0"/>
                <w:i w:val="0"/>
                <w:sz w:val="18"/>
              </w:rPr>
              <w:t>Thinnings sourced from areas with active pulpwood market — fails RSB energy market eligibility test</w:t>
            </w:r>
          </w:p>
        </w:tc>
        <w:tc>
          <w:tcPr>
            <w:tcW w:type="dxa" w:w="1872"/>
          </w:tcPr>
          <w:p>
            <w:r>
              <w:rPr>
                <w:b w:val="0"/>
                <w:i w:val="0"/>
                <w:sz w:val="18"/>
              </w:rPr>
              <w:t>Low-Medium</w:t>
            </w:r>
          </w:p>
        </w:tc>
        <w:tc>
          <w:tcPr>
            <w:tcW w:type="dxa" w:w="1872"/>
          </w:tcPr>
          <w:p>
            <w:r>
              <w:rPr>
                <w:b w:val="0"/>
                <w:i w:val="0"/>
                <w:sz w:val="18"/>
              </w:rPr>
              <w:t>Medium</w:t>
            </w:r>
          </w:p>
        </w:tc>
        <w:tc>
          <w:tcPr>
            <w:tcW w:type="dxa" w:w="1872"/>
          </w:tcPr>
          <w:p>
            <w:r>
              <w:rPr>
                <w:b w:val="0"/>
                <w:i w:val="0"/>
                <w:sz w:val="18"/>
              </w:rPr>
              <w:t>Document regional pulpwood market conditions for each sourcing area proactively. Research pulpwood mill capacity vs. available pre-commercial thinning volume in US Southeast.</w:t>
            </w:r>
          </w:p>
        </w:tc>
      </w:tr>
      <w:tr>
        <w:tc>
          <w:tcPr>
            <w:tcW w:type="dxa" w:w="1872"/>
          </w:tcPr>
          <w:p>
            <w:r>
              <w:rPr>
                <w:b w:val="0"/>
                <w:i w:val="0"/>
                <w:sz w:val="18"/>
              </w:rPr>
              <w:t>R6</w:t>
            </w:r>
          </w:p>
        </w:tc>
        <w:tc>
          <w:tcPr>
            <w:tcW w:type="dxa" w:w="1872"/>
          </w:tcPr>
          <w:p>
            <w:r>
              <w:rPr>
                <w:b w:val="0"/>
                <w:i w:val="0"/>
                <w:sz w:val="18"/>
              </w:rPr>
              <w:t>Soil sensitivity mapping reveals high-sensitivity soils at primary sourcing areas — limits harvestable residue volume</w:t>
            </w:r>
          </w:p>
        </w:tc>
        <w:tc>
          <w:tcPr>
            <w:tcW w:type="dxa" w:w="1872"/>
          </w:tcPr>
          <w:p>
            <w:r>
              <w:rPr>
                <w:b w:val="0"/>
                <w:i w:val="0"/>
                <w:sz w:val="18"/>
              </w:rPr>
              <w:t>Medium</w:t>
            </w:r>
          </w:p>
        </w:tc>
        <w:tc>
          <w:tcPr>
            <w:tcW w:type="dxa" w:w="1872"/>
          </w:tcPr>
          <w:p>
            <w:r>
              <w:rPr>
                <w:b w:val="0"/>
                <w:i w:val="0"/>
                <w:sz w:val="18"/>
              </w:rPr>
              <w:t>Medium</w:t>
            </w:r>
          </w:p>
        </w:tc>
        <w:tc>
          <w:tcPr>
            <w:tcW w:type="dxa" w:w="1872"/>
          </w:tcPr>
          <w:p>
            <w:r>
              <w:rPr>
                <w:b w:val="0"/>
                <w:i w:val="0"/>
                <w:sz w:val="18"/>
              </w:rPr>
              <w:t>Commission soil sensitivity assessment early (Phase 1). High sensitivity does not block sourcing but requires ≥ 20 m³ CWD retention, reducing available biomass.</w:t>
            </w:r>
          </w:p>
        </w:tc>
      </w:tr>
      <w:tr>
        <w:tc>
          <w:tcPr>
            <w:tcW w:type="dxa" w:w="1872"/>
          </w:tcPr>
          <w:p>
            <w:r>
              <w:rPr>
                <w:b w:val="0"/>
                <w:i w:val="0"/>
                <w:sz w:val="18"/>
              </w:rPr>
              <w:t>R7</w:t>
            </w:r>
          </w:p>
        </w:tc>
        <w:tc>
          <w:tcPr>
            <w:tcW w:type="dxa" w:w="1872"/>
          </w:tcPr>
          <w:p>
            <w:r>
              <w:rPr>
                <w:b w:val="0"/>
                <w:i w:val="0"/>
                <w:sz w:val="18"/>
              </w:rPr>
              <w:t>ηCi measurement reveals &gt; 5% difference between co-processing sites — sites cannot be aggregated</w:t>
            </w:r>
          </w:p>
        </w:tc>
        <w:tc>
          <w:tcPr>
            <w:tcW w:type="dxa" w:w="1872"/>
          </w:tcPr>
          <w:p>
            <w:r>
              <w:rPr>
                <w:b w:val="0"/>
                <w:i w:val="0"/>
                <w:sz w:val="18"/>
              </w:rPr>
              <w:t>Medium</w:t>
            </w:r>
          </w:p>
        </w:tc>
        <w:tc>
          <w:tcPr>
            <w:tcW w:type="dxa" w:w="1872"/>
          </w:tcPr>
          <w:p>
            <w:r>
              <w:rPr>
                <w:b w:val="0"/>
                <w:i w:val="0"/>
                <w:sz w:val="18"/>
              </w:rPr>
              <w:t>Medium</w:t>
            </w:r>
          </w:p>
        </w:tc>
        <w:tc>
          <w:tcPr>
            <w:tcW w:type="dxa" w:w="1872"/>
          </w:tcPr>
          <w:p>
            <w:r>
              <w:rPr>
                <w:b w:val="0"/>
                <w:i w:val="0"/>
                <w:sz w:val="18"/>
              </w:rPr>
              <w:t>Design ηCi sampling protocol before committing to multi-site supply chain. If &gt;5% difference, treat each site separately in attribution calculation.</w:t>
            </w:r>
          </w:p>
        </w:tc>
      </w:tr>
      <w:tr>
        <w:tc>
          <w:tcPr>
            <w:tcW w:type="dxa" w:w="1872"/>
          </w:tcPr>
          <w:p>
            <w:r>
              <w:rPr>
                <w:b w:val="0"/>
                <w:i w:val="0"/>
                <w:sz w:val="18"/>
              </w:rPr>
              <w:t>R8</w:t>
            </w:r>
          </w:p>
        </w:tc>
        <w:tc>
          <w:tcPr>
            <w:tcW w:type="dxa" w:w="1872"/>
          </w:tcPr>
          <w:p>
            <w:r>
              <w:rPr>
                <w:b w:val="0"/>
                <w:i w:val="0"/>
                <w:sz w:val="18"/>
              </w:rPr>
              <w:t>Mass balance 3-month period exceeded — critical non-conformity under RSB</w:t>
            </w:r>
          </w:p>
        </w:tc>
        <w:tc>
          <w:tcPr>
            <w:tcW w:type="dxa" w:w="1872"/>
          </w:tcPr>
          <w:p>
            <w:r>
              <w:rPr>
                <w:b w:val="0"/>
                <w:i w:val="0"/>
                <w:sz w:val="18"/>
              </w:rPr>
              <w:t>Low</w:t>
            </w:r>
          </w:p>
        </w:tc>
        <w:tc>
          <w:tcPr>
            <w:tcW w:type="dxa" w:w="1872"/>
          </w:tcPr>
          <w:p>
            <w:r>
              <w:rPr>
                <w:b w:val="0"/>
                <w:i w:val="0"/>
                <w:sz w:val="18"/>
              </w:rPr>
              <w:t>High</w:t>
            </w:r>
          </w:p>
        </w:tc>
        <w:tc>
          <w:tcPr>
            <w:tcW w:type="dxa" w:w="1872"/>
          </w:tcPr>
          <w:p>
            <w:r>
              <w:rPr>
                <w:b w:val="0"/>
                <w:i w:val="0"/>
                <w:sz w:val="18"/>
              </w:rPr>
              <w:t>Design system with 2-month target periods to maintain buffer. Set internal calendar alerts at 2.5 months. Conduct test runs before certification.</w:t>
            </w:r>
          </w:p>
        </w:tc>
      </w:tr>
    </w:tbl>
    <w:p>
      <w:r>
        <w:br w:type="page"/>
      </w:r>
    </w:p>
    <w:p>
      <w:pPr>
        <w:spacing w:before="200" w:after="80"/>
      </w:pPr>
      <w:r>
        <w:rPr>
          <w:b/>
          <w:i w:val="0"/>
          <w:caps/>
          <w:color w:val="003366"/>
          <w:sz w:val="30"/>
        </w:rPr>
        <w:t>CITATIONS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Document</w:t>
            </w:r>
          </w:p>
        </w:tc>
        <w:tc>
          <w:tcPr>
            <w:tcW w:type="dxa" w:w="3120"/>
            <w:shd w:val="clear" w:color="auto" w:fill="003366"/>
          </w:tcPr>
          <w:p>
            <w:r>
              <w:rPr>
                <w:b/>
                <w:i w:val="0"/>
                <w:color w:val="FFFFFF"/>
                <w:sz w:val="20"/>
              </w:rPr>
              <w:t>Date/Version</w:t>
            </w:r>
          </w:p>
        </w:tc>
        <w:tc>
          <w:tcPr>
            <w:tcW w:type="dxa" w:w="3120"/>
            <w:shd w:val="clear" w:color="auto" w:fill="003366"/>
          </w:tcPr>
          <w:p>
            <w:r>
              <w:rPr>
                <w:b/>
                <w:i w:val="0"/>
                <w:color w:val="FFFFFF"/>
                <w:sz w:val="20"/>
              </w:rPr>
              <w:t>Notes</w:t>
            </w:r>
          </w:p>
        </w:tc>
      </w:tr>
      <w:tr>
        <w:tc>
          <w:tcPr>
            <w:tcW w:type="dxa" w:w="3120"/>
          </w:tcPr>
          <w:p>
            <w:r>
              <w:rPr>
                <w:b w:val="0"/>
                <w:i w:val="0"/>
                <w:sz w:val="18"/>
              </w:rPr>
              <w:t>RSB-STD-01-010 v2.8</w:t>
            </w:r>
          </w:p>
        </w:tc>
        <w:tc>
          <w:tcPr>
            <w:tcW w:type="dxa" w:w="3120"/>
          </w:tcPr>
          <w:p>
            <w:r>
              <w:rPr>
                <w:b w:val="0"/>
                <w:i w:val="0"/>
                <w:sz w:val="18"/>
              </w:rPr>
              <w:t>April 2026</w:t>
            </w:r>
          </w:p>
        </w:tc>
        <w:tc>
          <w:tcPr>
            <w:tcW w:type="dxa" w:w="3120"/>
          </w:tcPr>
          <w:p>
            <w:r>
              <w:rPr>
                <w:b w:val="0"/>
                <w:i w:val="0"/>
                <w:sz w:val="18"/>
              </w:rPr>
              <w:t>RSB Standard for Global Advanced Fuels. Core certification standard for Charm's pathway. Sections cited: §2.4.5 (flexible attribution), Annex I (PoS fields), Annex IV (three-step flexible attribution calculation: Steps 1-2 run on carbon-mass basis; Step 3 GHG allocation runs on energy basis via AF = LHV_af / total energy output), Section F (chain of custody).</w:t>
            </w:r>
          </w:p>
        </w:tc>
      </w:tr>
      <w:tr>
        <w:tc>
          <w:tcPr>
            <w:tcW w:type="dxa" w:w="3120"/>
          </w:tcPr>
          <w:p>
            <w:r>
              <w:rPr>
                <w:b w:val="0"/>
                <w:i w:val="0"/>
                <w:sz w:val="18"/>
              </w:rPr>
              <w:t>RSB-STD-01-003-01 v3.2</w:t>
            </w:r>
          </w:p>
        </w:tc>
        <w:tc>
          <w:tcPr>
            <w:tcW w:type="dxa" w:w="3120"/>
          </w:tcPr>
          <w:p>
            <w:r>
              <w:rPr>
                <w:b w:val="0"/>
                <w:i w:val="0"/>
                <w:sz w:val="18"/>
              </w:rPr>
              <w:t>[Current version]</w:t>
            </w:r>
          </w:p>
        </w:tc>
        <w:tc>
          <w:tcPr>
            <w:tcW w:type="dxa" w:w="3120"/>
          </w:tcPr>
          <w:p>
            <w:r>
              <w:rPr>
                <w:b w:val="0"/>
                <w:i w:val="0"/>
                <w:sz w:val="18"/>
              </w:rPr>
              <w:t>RSB GHG Accounting Methodology. Sections cited: §B.1 (core formula), §B.9 (co-product allocation), §B.10 (co-processing), Table 2 (fossil comparator 90 g CO₂eq/MJ). Note: the three-step flexible attribution calculation is in STD-01-010 v2.8 Annex IV, not in STD-01-003-01.</w:t>
            </w:r>
          </w:p>
        </w:tc>
      </w:tr>
      <w:tr>
        <w:tc>
          <w:tcPr>
            <w:tcW w:type="dxa" w:w="3120"/>
          </w:tcPr>
          <w:p>
            <w:r>
              <w:rPr>
                <w:b w:val="0"/>
                <w:i w:val="0"/>
                <w:sz w:val="18"/>
              </w:rPr>
              <w:t>RSB-GUI-01-013-01 v1.0</w:t>
            </w:r>
          </w:p>
        </w:tc>
        <w:tc>
          <w:tcPr>
            <w:tcW w:type="dxa" w:w="3120"/>
          </w:tcPr>
          <w:p>
            <w:r>
              <w:rPr>
                <w:b w:val="0"/>
                <w:i w:val="0"/>
                <w:sz w:val="18"/>
              </w:rPr>
              <w:t>11 November 2024</w:t>
            </w:r>
          </w:p>
        </w:tc>
        <w:tc>
          <w:tcPr>
            <w:tcW w:type="dxa" w:w="3120"/>
          </w:tcPr>
          <w:p>
            <w:r>
              <w:rPr>
                <w:b w:val="0"/>
                <w:i w:val="0"/>
                <w:sz w:val="18"/>
              </w:rPr>
              <w:t>RSB Guidance on the Harvesting of Forestry Residues. Normative; constitutes Section 3 of RSB-SA-01. NOTE: Section 2 limits stated application to EU Market Access Standard or RSB ICAO CORSIA scheme — see OCI-1.</w:t>
            </w:r>
          </w:p>
        </w:tc>
      </w:tr>
      <w:tr>
        <w:tc>
          <w:tcPr>
            <w:tcW w:type="dxa" w:w="3120"/>
          </w:tcPr>
          <w:p>
            <w:r>
              <w:rPr>
                <w:b w:val="0"/>
                <w:i w:val="0"/>
                <w:sz w:val="18"/>
              </w:rPr>
              <w:t>RSB-GUI-01-013-01 Annex 1</w:t>
            </w:r>
          </w:p>
        </w:tc>
        <w:tc>
          <w:tcPr>
            <w:tcW w:type="dxa" w:w="3120"/>
          </w:tcPr>
          <w:p>
            <w:r>
              <w:rPr>
                <w:b w:val="0"/>
                <w:i w:val="0"/>
                <w:sz w:val="18"/>
              </w:rPr>
              <w:t>December 2024</w:t>
            </w:r>
          </w:p>
        </w:tc>
        <w:tc>
          <w:tcPr>
            <w:tcW w:type="dxa" w:w="3120"/>
          </w:tcPr>
          <w:p>
            <w:r>
              <w:rPr>
                <w:b w:val="0"/>
                <w:i w:val="0"/>
                <w:sz w:val="18"/>
              </w:rPr>
              <w:t>Guidance on the Verification Process for forestry residue harvesting. 9 verification indicators for auditors; soil sensitivity classification Table 2; volume estimation methods.</w:t>
            </w:r>
          </w:p>
        </w:tc>
      </w:tr>
      <w:tr>
        <w:tc>
          <w:tcPr>
            <w:tcW w:type="dxa" w:w="3120"/>
          </w:tcPr>
          <w:p>
            <w:r>
              <w:rPr>
                <w:b w:val="0"/>
                <w:i w:val="0"/>
                <w:sz w:val="18"/>
              </w:rPr>
              <w:t>RSB-GUI-PG-2025-02 v01</w:t>
            </w:r>
          </w:p>
        </w:tc>
        <w:tc>
          <w:tcPr>
            <w:tcW w:type="dxa" w:w="3120"/>
          </w:tcPr>
          <w:p>
            <w:r>
              <w:rPr>
                <w:b w:val="0"/>
                <w:i w:val="0"/>
                <w:sz w:val="18"/>
              </w:rPr>
              <w:t>January 2025</w:t>
            </w:r>
          </w:p>
        </w:tc>
        <w:tc>
          <w:tcPr>
            <w:tcW w:type="dxa" w:w="3120"/>
          </w:tcPr>
          <w:p>
            <w:r>
              <w:rPr>
                <w:b w:val="0"/>
                <w:i w:val="0"/>
                <w:sz w:val="18"/>
              </w:rPr>
              <w:t>RSB Proactive Guidance on Co-Processing GHG Calculations. Six-step virtual split methodology. NOTE: Section 2 limits stated application to EU Market Access (RSB-STD-11-001) and EU RED Traceability (RSB-PRO-11-001-20-001) — see OCI-2.</w:t>
            </w:r>
          </w:p>
        </w:tc>
      </w:tr>
      <w:tr>
        <w:tc>
          <w:tcPr>
            <w:tcW w:type="dxa" w:w="3120"/>
          </w:tcPr>
          <w:p>
            <w:r>
              <w:rPr>
                <w:b w:val="0"/>
                <w:i w:val="0"/>
                <w:sz w:val="18"/>
              </w:rPr>
              <w:t>RSB-SA-01 v1.0</w:t>
            </w:r>
          </w:p>
        </w:tc>
        <w:tc>
          <w:tcPr>
            <w:tcW w:type="dxa" w:w="3120"/>
          </w:tcPr>
          <w:p>
            <w:r>
              <w:rPr>
                <w:b w:val="0"/>
                <w:i w:val="0"/>
                <w:sz w:val="18"/>
              </w:rPr>
              <w:t>2021</w:t>
            </w:r>
          </w:p>
        </w:tc>
        <w:tc>
          <w:tcPr>
            <w:tcW w:type="dxa" w:w="3120"/>
          </w:tcPr>
          <w:p>
            <w:r>
              <w:rPr>
                <w:b w:val="0"/>
                <w:i w:val="0"/>
                <w:sz w:val="18"/>
              </w:rPr>
              <w:t>RSB Standard Amendment: Requirements for Woody Biomass. Framework for woody biomass certification. RSB-GUI-01-013-01 constitutes its Section 3.</w:t>
            </w:r>
          </w:p>
        </w:tc>
      </w:tr>
      <w:tr>
        <w:tc>
          <w:tcPr>
            <w:tcW w:type="dxa" w:w="3120"/>
          </w:tcPr>
          <w:p>
            <w:r>
              <w:rPr>
                <w:b w:val="0"/>
                <w:i w:val="0"/>
                <w:sz w:val="18"/>
              </w:rPr>
              <w:t>RSB-STD-01-001 v4.1</w:t>
            </w:r>
          </w:p>
        </w:tc>
        <w:tc>
          <w:tcPr>
            <w:tcW w:type="dxa" w:w="3120"/>
          </w:tcPr>
          <w:p>
            <w:r>
              <w:rPr>
                <w:b w:val="0"/>
                <w:i w:val="0"/>
                <w:sz w:val="18"/>
              </w:rPr>
              <w:t>2024</w:t>
            </w:r>
          </w:p>
        </w:tc>
        <w:tc>
          <w:tcPr>
            <w:tcW w:type="dxa" w:w="3120"/>
          </w:tcPr>
          <w:p>
            <w:r>
              <w:rPr>
                <w:b w:val="0"/>
                <w:i w:val="0"/>
                <w:sz w:val="18"/>
              </w:rPr>
              <w:t>RSB Principles &amp; Criteria. Foundation sustainability requirements.</w:t>
            </w:r>
          </w:p>
        </w:tc>
      </w:tr>
      <w:tr>
        <w:tc>
          <w:tcPr>
            <w:tcW w:type="dxa" w:w="3120"/>
          </w:tcPr>
          <w:p>
            <w:r>
              <w:rPr>
                <w:b w:val="0"/>
                <w:i w:val="0"/>
                <w:sz w:val="18"/>
              </w:rPr>
              <w:t>RG-2024-06</w:t>
            </w:r>
          </w:p>
        </w:tc>
        <w:tc>
          <w:tcPr>
            <w:tcW w:type="dxa" w:w="3120"/>
          </w:tcPr>
          <w:p>
            <w:r>
              <w:rPr>
                <w:b w:val="0"/>
                <w:i w:val="0"/>
                <w:sz w:val="18"/>
              </w:rPr>
              <w:t>2024</w:t>
            </w:r>
          </w:p>
        </w:tc>
        <w:tc>
          <w:tcPr>
            <w:tcW w:type="dxa" w:w="3120"/>
          </w:tcPr>
          <w:p>
            <w:r>
              <w:rPr>
                <w:b w:val="0"/>
                <w:i w:val="0"/>
                <w:sz w:val="18"/>
              </w:rPr>
              <w:t>RSB Recognition Guidance for Flexible Attribution in Co-Processing, cited in context of STD-01-010 §2.4.5 and Annex IV.</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