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355"/>
          <w:sz w:val="40"/>
        </w:rPr>
        <w:t>SAF Accounting in the Isometric Ecosystem</w:t>
      </w:r>
    </w:p>
    <w:p>
      <w:pPr>
        <w:spacing w:after="40"/>
      </w:pPr>
      <w:r>
        <w:rPr>
          <w:color w:val="2E5A88"/>
          <w:sz w:val="26"/>
        </w:rPr>
        <w:t>Feasibility Judgment and a Plan to Make the Case</w:t>
      </w:r>
    </w:p>
    <w:p>
      <w:pPr>
        <w:spacing w:after="40"/>
      </w:pPr>
      <w:r>
        <w:rPr>
          <w:color w:val="555555"/>
          <w:sz w:val="19"/>
        </w:rPr>
        <w:t>Internal — Charm Industrial  ·  MRV  ·  29 June 2026  (v2, primary-sourced)</w:t>
      </w:r>
    </w:p>
    <w:p>
      <w:pPr>
        <w:spacing w:after="160"/>
      </w:pPr>
      <w:r>
        <w:rPr>
          <w:b w:val="0"/>
          <w:i/>
          <w:color w:val="555555"/>
          <w:sz w:val="19"/>
        </w:rPr>
        <w:t>Every claim below is tied to a source read directly this session: Isometric's Standard v2.1, its v2.0 announcement and its 22 June 2026 Series A announcement (all opened in-browser), Peter's posts in #oil-materials, and three Charm files opened in Drive. No tracker, no secondhand summary, no document I could not open.</w:t>
      </w:r>
    </w:p>
    <w:tbl>
      <w:tblPr>
        <w:tblW w:type="auto" w:w="0"/>
        <w:jc w:val="center"/>
        <w:tblLook w:firstColumn="1" w:firstRow="1" w:lastColumn="0" w:lastRow="0" w:noHBand="0" w:noVBand="1" w:val="04A0"/>
      </w:tblPr>
      <w:tblGrid>
        <w:gridCol w:w="8640"/>
      </w:tblGrid>
      <w:tr>
        <w:tc>
          <w:tcPr>
            <w:tcW w:type="dxa" w:w="8640"/>
            <w:shd w:val="clear" w:fill="EAF1F8"/>
          </w:tcPr>
          <w:p>
            <w:pPr>
              <w:spacing w:after="40"/>
            </w:pPr>
            <w:r>
              <w:rPr>
                <w:b/>
                <w:color w:val="1F3355"/>
                <w:sz w:val="20"/>
              </w:rPr>
              <w:t>BOTTOM LINE</w:t>
            </w:r>
          </w:p>
          <w:p>
            <w:pPr>
              <w:spacing w:after="80"/>
            </w:pPr>
            <w:r>
              <w:rPr>
                <w:b/>
                <w:sz w:val="22"/>
              </w:rPr>
              <w:t xml:space="preserve">Reasonable to pursue — with eyes open. </w:t>
            </w:r>
            <w:r>
              <w:rPr>
                <w:sz w:val="21"/>
              </w:rPr>
              <w:t>Isometric opened the door to reduction credits in April (Standard v2.0), and their own CEO told Peter in March that of the categories they are exploring, “SAF looks by far the most compelling.” But the only reduction pathways live today are superpollutants (landfill methane, HFC/ODS) — SAF would be a new pathway they have not built. Our edge is real and unique: the upstream half of the SAF method is already Isometric-validated, so no other registry starts from where we do.</w:t>
            </w:r>
          </w:p>
          <w:p>
            <w:pPr>
              <w:spacing w:after="40"/>
            </w:pPr>
            <w:r>
              <w:rPr>
                <w:sz w:val="21"/>
              </w:rPr>
              <w:t>The case turns on two things Isometric controls: whether they will accept free / flexible allocation in a voluntary credit (the move compliance regimes reject), and whether a new pathway can be built alongside our deployment rather than ahead of it. Recommendation: pursue Isometric as the preferred home, keep the 123 Carbon / SFC MBM route warm as the named fallback, and make Isometric's role conditional on a non-blocking timeline.</w:t>
            </w:r>
          </w:p>
        </w:tc>
      </w:tr>
    </w:tbl>
    <w:p>
      <w:pPr>
        <w:keepNext/>
        <w:spacing w:before="280" w:after="80"/>
        <w:pBdr>
          <w:bottom w:val="single" w:sz="6" w:space="3" w:color="2E5A88"/>
        </w:pBdr>
      </w:pPr>
      <w:r>
        <w:rPr>
          <w:b/>
          <w:color w:val="1F3355"/>
          <w:sz w:val="30"/>
        </w:rPr>
        <w:t>1.  What we are trying to do</w:t>
      </w:r>
    </w:p>
    <w:p>
      <w:pPr>
        <w:spacing w:after="120"/>
      </w:pPr>
      <w:r>
        <w:rPr>
          <w:b w:val="0"/>
          <w:i w:val="0"/>
          <w:sz w:val="21"/>
        </w:rPr>
        <w:t>Charm's bio-oil can serve as a refinery feedstock for sustainable aviation fuel (SAF) when co-processed in a fluid catalytic cracker (FCC). The same production system that makes our carbon-removal bio-oil would then generate a second, separate product: a voluntary SAF emissions-reduction credit. Two design choices define it:</w:t>
      </w:r>
    </w:p>
    <w:p>
      <w:pPr>
        <w:pStyle w:val="ListBullet"/>
        <w:spacing w:after="60"/>
      </w:pPr>
      <w:r>
        <w:rPr>
          <w:b/>
          <w:i w:val="0"/>
          <w:sz w:val="21"/>
        </w:rPr>
        <w:t xml:space="preserve">Free (flexible) allocation. </w:t>
      </w:r>
      <w:r>
        <w:rPr>
          <w:b w:val="0"/>
          <w:i w:val="0"/>
          <w:sz w:val="21"/>
        </w:rPr>
        <w:t>Bio-oil molecules disperse across the whole refinery barrel, so little physically lands in the jet fraction. Free allocation means assigning the bio-oil's full biogenic benefit to the SAF fraction, where the value is highest. Without it the benefit dilutes across low-value road fuels and the economics fail.</w:t>
      </w:r>
    </w:p>
    <w:p>
      <w:pPr>
        <w:pStyle w:val="ListBullet"/>
        <w:spacing w:after="60"/>
      </w:pPr>
      <w:r>
        <w:rPr>
          <w:b/>
          <w:i w:val="0"/>
          <w:sz w:val="21"/>
        </w:rPr>
        <w:t xml:space="preserve">A hyperscaler buyers' coalition. </w:t>
      </w:r>
      <w:r>
        <w:rPr>
          <w:b w:val="0"/>
          <w:i w:val="0"/>
          <w:sz w:val="21"/>
        </w:rPr>
        <w:t>Funded by voluntary corporate Scope 3 demand, not a compliance mandate.</w:t>
      </w:r>
    </w:p>
    <w:p>
      <w:pPr>
        <w:spacing w:after="120"/>
      </w:pPr>
      <w:r>
        <w:rPr>
          <w:b w:val="0"/>
          <w:i w:val="0"/>
          <w:sz w:val="21"/>
        </w:rPr>
        <w:t>This is deliberately not CORSIA-compliant, because the CORSIA-compliant routes cannot scale. In Peter's words to BEV (#oil-materials, 13 Apr 2026), meeting global jet demand would take roughly 300 million tons of biomass a year — about a third of all US biomass — while the US alone has around 1 billion tons a year of waste agricultural residue plus wildfire material. Lignocellulosic co-processing is the only route with the tonnage to move airline decarbonization. The binding constraint is the accounting, not the chemistry.</w:t>
      </w:r>
    </w:p>
    <w:p>
      <w:pPr>
        <w:spacing w:after="120"/>
      </w:pPr>
      <w:r>
        <w:rPr>
          <w:b w:val="0"/>
          <w:i w:val="0"/>
          <w:sz w:val="21"/>
        </w:rPr>
        <w:t>The buyer signal is concrete. Per Peter (#oil-materials, 19 Jun 2026), Amazon's Marie LaRiviere said “mass balance me anything out of a refinery as long as the carbon methodology works,” targets roughly 50 million gallons of SAF a year, and wants a 90% carbon-intensity reduction at price parity by 2040 — against which Charm's expected reduction of about 96% would clear the bar. Demand is almost entirely the North American voluntary market.</w:t>
      </w:r>
    </w:p>
    <w:p>
      <w:pPr>
        <w:keepNext/>
        <w:spacing w:before="280" w:after="80"/>
        <w:pBdr>
          <w:bottom w:val="single" w:sz="6" w:space="3" w:color="2E5A88"/>
        </w:pBdr>
      </w:pPr>
      <w:r>
        <w:rPr>
          <w:b/>
          <w:color w:val="1F3355"/>
          <w:sz w:val="30"/>
        </w:rPr>
        <w:t>2.  What we have built (read directly: methodology deck v16, pathway review)</w:t>
      </w:r>
    </w:p>
    <w:p>
      <w:pPr>
        <w:spacing w:after="120"/>
      </w:pPr>
      <w:r>
        <w:t xml:space="preserve">Our SAF Methodology Framework deck (v16, opened in Drive) is organized around </w:t>
      </w:r>
      <w:r>
        <w:rPr>
          <w:b/>
        </w:rPr>
        <w:t>“one root, many branches.”</w:t>
      </w:r>
      <w:r>
        <w:t xml:space="preserve"> One validated root — biomass qualification through pyrolysis carbon accounting — feeds many downstream branches (removals today, fuels next). The deck maps a 15-step chain and assigns each step a normative reference:</w:t>
      </w:r>
    </w:p>
    <w:p>
      <w:pPr>
        <w:pStyle w:val="ListBullet"/>
        <w:spacing w:after="60"/>
      </w:pPr>
      <w:r>
        <w:rPr>
          <w:b/>
          <w:i w:val="0"/>
          <w:sz w:val="21"/>
        </w:rPr>
        <w:t xml:space="preserve">Steps 1–6 and 10 — already Isometric-validated (the root). </w:t>
      </w:r>
      <w:r>
        <w:rPr>
          <w:b w:val="0"/>
          <w:i w:val="0"/>
          <w:sz w:val="21"/>
        </w:rPr>
        <w:t>Biomass qualification, sourcing, transport, pyrolysis, co-product allocation and bio-oil transport, governed by Charm PDD v1.12 and the underlying Isometric modules. The deck's stated design principle: “Charm has already invested heavily in validating its CDR projects under Isometric's rigorous requirements. That work should be leveraged as much as possible.” The SAF claim reuses those determinations rather than re-running them.</w:t>
      </w:r>
    </w:p>
    <w:p>
      <w:pPr>
        <w:pStyle w:val="ListBullet"/>
        <w:spacing w:after="60"/>
      </w:pPr>
      <w:r>
        <w:rPr>
          <w:b/>
          <w:i w:val="0"/>
          <w:sz w:val="21"/>
        </w:rPr>
        <w:t xml:space="preserve">Steps 7–9 and 11–12 — the novel branch, scoped against RSB. </w:t>
      </w:r>
      <w:r>
        <w:rPr>
          <w:b w:val="0"/>
          <w:i w:val="0"/>
          <w:sz w:val="21"/>
        </w:rPr>
        <w:t>Refinery co-processing, marginal-emission allocation, free / flexible allocation of biogenic carbon to the SAF fraction, well-to-wake carbon intensity, and the saving versus a fossil baseline — built on RSB's published formulas (the deck cites RSB-STD-01-010 Annex IV for flexible attribution and RSB-GUI-PG-2025-02 §6.1 for the marginal refinery split).</w:t>
      </w:r>
    </w:p>
    <w:p>
      <w:pPr>
        <w:pStyle w:val="ListBullet"/>
        <w:spacing w:after="60"/>
      </w:pPr>
      <w:r>
        <w:rPr>
          <w:b/>
          <w:i w:val="0"/>
          <w:sz w:val="21"/>
        </w:rPr>
        <w:t xml:space="preserve">Steps 13–15 — issuance, currently pointed at 123 Carbon / SFC MBM. </w:t>
      </w:r>
      <w:r>
        <w:rPr>
          <w:b w:val="0"/>
          <w:i w:val="0"/>
          <w:sz w:val="21"/>
        </w:rPr>
        <w:t>This is the part this memo proposes we revisit in Isometric's favor.</w:t>
      </w:r>
    </w:p>
    <w:p>
      <w:pPr>
        <w:spacing w:after="120"/>
      </w:pPr>
      <w:r>
        <w:rPr>
          <w:b w:val="0"/>
          <w:i w:val="0"/>
          <w:sz w:val="21"/>
        </w:rPr>
        <w:t>Our internal pathway review (SAF Credit Pathway Options Review, 2 Jun 2026, opened in Drive) tested the registry options and concluded: CORSIA is ruled out structurally — it states, in the review's words, that free allocation of biogenic carbon to SAF is prohibited and “This is a structural constraint, not a compliance gap. There is no workaround within CORSIA.” RSB is named under SFC MBM but fails the GHG threshold at our current bio-oil carbon intensity. The review's recommendation was a non-certified methodology track under SFC MBM with 123 Carbon as registry. That review predates Isometric formally entering the reductions business — which is what reopens the registry question here.</w:t>
      </w:r>
    </w:p>
    <w:p>
      <w:pPr>
        <w:keepNext/>
        <w:spacing w:before="280" w:after="80"/>
        <w:pBdr>
          <w:bottom w:val="single" w:sz="6" w:space="3" w:color="2E5A88"/>
        </w:pBdr>
      </w:pPr>
      <w:r>
        <w:rPr>
          <w:b/>
          <w:color w:val="1F3355"/>
          <w:sz w:val="30"/>
        </w:rPr>
        <w:t>3.  What changed at Isometric (read directly in-browser)</w:t>
      </w:r>
    </w:p>
    <w:p>
      <w:pPr>
        <w:spacing w:after="120"/>
      </w:pPr>
      <w:r>
        <w:rPr>
          <w:b w:val="0"/>
          <w:i w:val="0"/>
          <w:sz w:val="21"/>
        </w:rPr>
        <w:t>Isometric certified Version 2.0 of its Standard on 2 April 2026. Its announcement (opened in-browser) states:</w:t>
      </w:r>
    </w:p>
    <w:p>
      <w:pPr>
        <w:spacing w:after="40"/>
        <w:ind w:left="432" w:right="288"/>
        <w:pBdr>
          <w:left w:val="single" w:sz="18" w:space="8" w:color="2E5A88"/>
        </w:pBdr>
      </w:pPr>
      <w:r>
        <w:rPr>
          <w:i/>
          <w:color w:val="555555"/>
          <w:sz w:val="20"/>
        </w:rPr>
        <w:t>“Version 2.0 formally expands the Standard's scope to cover emission reduction activities alongside carbon removal. Each emission reduction credit Isometric issues represents one net metric tonne of carbon dioxide equivalent prevented from reaching the atmosphere from an existing source of greenhouse gas emissions.”</w:t>
      </w:r>
    </w:p>
    <w:p>
      <w:pPr>
        <w:spacing w:after="120"/>
        <w:ind w:left="432"/>
      </w:pPr>
      <w:r>
        <w:rPr>
          <w:color w:val="2E5A88"/>
          <w:sz w:val="17"/>
        </w:rPr>
        <w:t>— Isometric, “Isometric certifies Version 2.0 of the Standard,” 2 Apr 2026</w:t>
      </w:r>
    </w:p>
    <w:p>
      <w:pPr>
        <w:spacing w:after="120"/>
      </w:pPr>
      <w:r>
        <w:rPr>
          <w:b w:val="0"/>
          <w:i w:val="0"/>
          <w:sz w:val="21"/>
        </w:rPr>
        <w:t>The current Standard (v2.1, opened in-browser) makes the two credit types explicit and shows the reduction accounting already handles avoided fossil emissions against a counterfactual:</w:t>
      </w:r>
    </w:p>
    <w:p>
      <w:pPr>
        <w:spacing w:after="40"/>
        <w:ind w:left="432" w:right="288"/>
        <w:pBdr>
          <w:left w:val="single" w:sz="18" w:space="8" w:color="2E5A88"/>
        </w:pBdr>
      </w:pPr>
      <w:r>
        <w:rPr>
          <w:i/>
          <w:color w:val="555555"/>
          <w:sz w:val="20"/>
        </w:rPr>
        <w:t>“Isometric Issues two Types of Credits: Carbon Dioxide Removal credits … and Emission Reduction credits, for the net reduction of one metric tonne of CO₂e of specified greenhouse gasses generated by an existing emitter.” … “For Reductions, gross reduction is reported in CO2e and broken down into avoided fossil CO2 and avoided non-CO2 greenhouse gasses.”</w:t>
      </w:r>
    </w:p>
    <w:p>
      <w:pPr>
        <w:spacing w:after="120"/>
        <w:ind w:left="432"/>
      </w:pPr>
      <w:r>
        <w:rPr>
          <w:color w:val="2E5A88"/>
          <w:sz w:val="17"/>
        </w:rPr>
        <w:t>— Isometric Standard v2.1, §1.3.2 and reductions reporting clauses</w:t>
      </w:r>
    </w:p>
    <w:p>
      <w:pPr>
        <w:spacing w:after="120"/>
      </w:pPr>
      <w:r>
        <w:rPr>
          <w:b/>
          <w:i w:val="0"/>
          <w:sz w:val="21"/>
        </w:rPr>
        <w:t xml:space="preserve">The crucial nuance, in their own words: the door is open in principle, but the live pathways are superpollutants only. </w:t>
      </w:r>
      <w:r>
        <w:rPr>
          <w:b w:val="0"/>
          <w:i w:val="0"/>
          <w:sz w:val="21"/>
        </w:rPr>
        <w:t>The announcement says: “This expansion brings superpollutant pathways into scope for the first time. Isometric's Landfill Methane Flaring and Utilization and HFC and ODS Recovery and Destruction protocols are the first to operate under this expanded scope, with more pathways to follow.” SAF is not in scope today — it would be one of those “more pathways to follow,” requiring a new protocol.</w:t>
      </w:r>
    </w:p>
    <w:p>
      <w:pPr>
        <w:spacing w:after="120"/>
      </w:pPr>
      <w:r>
        <w:rPr>
          <w:b/>
          <w:i w:val="0"/>
          <w:sz w:val="21"/>
        </w:rPr>
        <w:t xml:space="preserve">Three weeks ago they put capital behind exactly that direction. </w:t>
      </w:r>
      <w:r>
        <w:rPr>
          <w:b w:val="0"/>
          <w:i w:val="0"/>
          <w:sz w:val="21"/>
        </w:rPr>
        <w:t>On 22 June 2026 Isometric announced a $40M Series A (led by AVP, with Plural, Lowercarbon Capital, John Doerr and Walter Kortschak) “to expand Isometric's agentic certification across the industrial economy.” The thesis names fuels directly:</w:t>
      </w:r>
    </w:p>
    <w:p>
      <w:pPr>
        <w:spacing w:after="40"/>
        <w:ind w:left="432" w:right="288"/>
        <w:pBdr>
          <w:left w:val="single" w:sz="18" w:space="8" w:color="2E5A88"/>
        </w:pBdr>
      </w:pPr>
      <w:r>
        <w:rPr>
          <w:i/>
          <w:color w:val="555555"/>
          <w:sz w:val="20"/>
        </w:rPr>
        <w:t>“How do you prove that a fuel is low-carbon, that energy was generated cleanly, or that carbon was removed from the atmosphere? The answer is certification.” … “We proved this first in carbon removal … what comes next is the rest of the industrial economy.”</w:t>
      </w:r>
    </w:p>
    <w:p>
      <w:pPr>
        <w:spacing w:after="120"/>
        <w:ind w:left="432"/>
      </w:pPr>
      <w:r>
        <w:rPr>
          <w:color w:val="2E5A88"/>
          <w:sz w:val="17"/>
        </w:rPr>
        <w:t>— Isometric, “Isometric raises $40M to bring agentic certification to the industrial economy,” 22 Jun 2026</w:t>
      </w:r>
    </w:p>
    <w:p>
      <w:pPr>
        <w:spacing w:after="120"/>
      </w:pPr>
      <w:r>
        <w:rPr>
          <w:b w:val="0"/>
          <w:i w:val="0"/>
          <w:sz w:val="21"/>
        </w:rPr>
        <w:t>Their product taxonomy now lists Fuels and Materials as categories alongside Carbon and Superpollutants. So a SAF fuel-reduction credit is not a fringe request — it sits inside the strategy they just raised against. Transport and logistics is both central to the industrial value chain they are targeting and a notoriously hard-to-abate part of GHG accounting, and aviation fuel is one of its highest-value corners — exactly the kind of difficult, high-credibility category a category-defining certifier wants to own.</w:t>
      </w:r>
    </w:p>
    <w:p>
      <w:pPr>
        <w:spacing w:after="120"/>
      </w:pPr>
      <w:r>
        <w:rPr>
          <w:b w:val="0"/>
          <w:i w:val="0"/>
          <w:sz w:val="21"/>
        </w:rPr>
        <w:t>And Isometric has already signalled interest. Peter's meeting notes with Isometric's CEO and their attribute-credit lead (#oil-materials, 10 Mar 2026, read directly) record that Isometric is “exploring EACs broadly including cement, steel, SAF,” and that “SAF looks by far the most compelling” — though with “a very nascent understanding of the market dynamics.” Separately, Peter reported (#oil-materials, 18 Mar 2026) that “Isometric came back with a number of questions about attributional vs. consequential carbon accounting for bio-oil co-processed in FCC for SAF … in writing now,” and that he had commented on the document. I have not been able to open that questions document — it is access-restricted to your account as well as mine (Google Docs returns “You need access”) — so its specific contents are unread, and nothing in this memo characterizes them.</w:t>
      </w:r>
    </w:p>
    <w:p>
      <w:pPr>
        <w:keepNext/>
        <w:spacing w:before="280" w:after="80"/>
        <w:pBdr>
          <w:bottom w:val="single" w:sz="6" w:space="3" w:color="2E5A88"/>
        </w:pBdr>
      </w:pPr>
      <w:r>
        <w:rPr>
          <w:b/>
          <w:color w:val="1F3355"/>
          <w:sz w:val="30"/>
        </w:rPr>
        <w:t>4.  Feasibility judgment</w:t>
      </w:r>
    </w:p>
    <w:p>
      <w:pPr>
        <w:spacing w:after="120"/>
      </w:pPr>
      <w:r>
        <w:rPr>
          <w:b/>
          <w:i w:val="0"/>
          <w:sz w:val="21"/>
        </w:rPr>
        <w:t xml:space="preserve">Verdict: reasonable, worth pursuing as the preferred path — conditional on timeline protection. </w:t>
      </w:r>
      <w:r>
        <w:rPr>
          <w:b w:val="0"/>
          <w:i w:val="0"/>
          <w:sz w:val="21"/>
        </w:rPr>
        <w:t>Each of the three conditions you set, judged against sources read directly.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355"/>
          </w:tcPr>
          <w:p>
            <w:pPr>
              <w:spacing w:after="20"/>
            </w:pPr>
            <w:r>
              <w:rPr>
                <w:b/>
                <w:color w:val="FFFFFF"/>
                <w:sz w:val="20"/>
              </w:rPr>
              <w:t>Your condition</w:t>
            </w:r>
          </w:p>
        </w:tc>
        <w:tc>
          <w:tcPr>
            <w:tcW w:type="dxa" w:w="2880"/>
            <w:shd w:val="clear" w:fill="1F3355"/>
          </w:tcPr>
          <w:p>
            <w:pPr>
              <w:spacing w:after="20"/>
            </w:pPr>
            <w:r>
              <w:rPr>
                <w:b/>
                <w:color w:val="FFFFFF"/>
                <w:sz w:val="20"/>
              </w:rPr>
              <w:t>Fit with Isometric today</w:t>
            </w:r>
          </w:p>
        </w:tc>
        <w:tc>
          <w:tcPr>
            <w:tcW w:type="dxa" w:w="2880"/>
            <w:shd w:val="clear" w:fill="1F3355"/>
          </w:tcPr>
          <w:p>
            <w:pPr>
              <w:spacing w:after="20"/>
            </w:pPr>
            <w:r>
              <w:rPr>
                <w:b/>
                <w:color w:val="FFFFFF"/>
                <w:sz w:val="20"/>
              </w:rPr>
              <w:t>Verdict</w:t>
            </w:r>
          </w:p>
        </w:tc>
      </w:tr>
      <w:tr>
        <w:tc>
          <w:tcPr>
            <w:tcW w:type="dxa" w:w="2880"/>
          </w:tcPr>
          <w:p>
            <w:pPr>
              <w:spacing w:after="20"/>
            </w:pPr>
            <w:r>
              <w:rPr>
                <w:b/>
                <w:sz w:val="19"/>
              </w:rPr>
              <w:t>1. Supports free (flexible) allocation</w:t>
            </w:r>
          </w:p>
        </w:tc>
        <w:tc>
          <w:tcPr>
            <w:tcW w:type="dxa" w:w="2880"/>
          </w:tcPr>
          <w:p>
            <w:pPr>
              <w:spacing w:after="20"/>
            </w:pPr>
            <w:r>
              <w:rPr>
                <w:sz w:val="19"/>
              </w:rPr>
              <w:t>Per our cross-product attribution review (read directly), free allocation is barred in compliance schemes (CORSIA, EU RED/ISCC-EU, US 40B/45Z) but accepted in the voluntary book-and-claim market — where Isometric operates. The Standard does not prohibit it; it is a methodology design choice. Open question is appetite, not rules: free attribution is the precise move integrity-first regulators reject, so Isometric may resist it.</w:t>
            </w:r>
          </w:p>
        </w:tc>
        <w:tc>
          <w:tcPr>
            <w:tcW w:type="dxa" w:w="2880"/>
          </w:tcPr>
          <w:p>
            <w:pPr>
              <w:spacing w:after="20"/>
            </w:pPr>
            <w:r>
              <w:rPr>
                <w:i/>
                <w:color w:val="2E5A88"/>
                <w:sz w:val="19"/>
              </w:rPr>
              <w:t>Compatible. Hinges on Isometric appetite.</w:t>
            </w:r>
          </w:p>
        </w:tc>
      </w:tr>
      <w:tr>
        <w:tc>
          <w:tcPr>
            <w:tcW w:type="dxa" w:w="2880"/>
            <w:shd w:val="clear" w:fill="F2F6FB"/>
          </w:tcPr>
          <w:p>
            <w:pPr>
              <w:spacing w:after="20"/>
            </w:pPr>
            <w:r>
              <w:rPr>
                <w:b/>
                <w:sz w:val="19"/>
              </w:rPr>
              <w:t>2. Reasonable refinery-emission allocation and partner handling</w:t>
            </w:r>
          </w:p>
        </w:tc>
        <w:tc>
          <w:tcPr>
            <w:tcW w:type="dxa" w:w="2880"/>
            <w:shd w:val="clear" w:fill="F2F6FB"/>
          </w:tcPr>
          <w:p>
            <w:pPr>
              <w:spacing w:after="20"/>
            </w:pPr>
            <w:r>
              <w:rPr>
                <w:sz w:val="19"/>
              </w:rPr>
              <w:t>The Standard's reduction accounting already requires a counterfactual and an avoided-fossil-CO₂ breakdown (read directly) — compatible with the marginal refinery split our deck scoped. New for Isometric: the emitting party is a refinery Charm does not own, unlike a CDR project Charm runs. A governance question, not a technical one.</w:t>
            </w:r>
          </w:p>
        </w:tc>
        <w:tc>
          <w:tcPr>
            <w:tcW w:type="dxa" w:w="2880"/>
            <w:shd w:val="clear" w:fill="F2F6FB"/>
          </w:tcPr>
          <w:p>
            <w:pPr>
              <w:spacing w:after="20"/>
            </w:pPr>
            <w:r>
              <w:rPr>
                <w:i/>
                <w:color w:val="2E5A88"/>
                <w:sz w:val="19"/>
              </w:rPr>
              <w:t>Workable. New partner model to design.</w:t>
            </w:r>
          </w:p>
        </w:tc>
      </w:tr>
      <w:tr>
        <w:tc>
          <w:tcPr>
            <w:tcW w:type="dxa" w:w="2880"/>
          </w:tcPr>
          <w:p>
            <w:pPr>
              <w:spacing w:after="20"/>
            </w:pPr>
            <w:r>
              <w:rPr>
                <w:b/>
                <w:sz w:val="19"/>
              </w:rPr>
              <w:t>3. Develops alongside us, not as a blocker</w:t>
            </w:r>
          </w:p>
        </w:tc>
        <w:tc>
          <w:tcPr>
            <w:tcW w:type="dxa" w:w="2880"/>
          </w:tcPr>
          <w:p>
            <w:pPr>
              <w:spacing w:after="20"/>
            </w:pPr>
            <w:r>
              <w:rPr>
                <w:b w:val="0"/>
                <w:i w:val="0"/>
                <w:sz w:val="19"/>
              </w:rPr>
              <w:t>The real risk — SAF is not a live Isometric pathway, it is “more pathways to follow,” and a new protocol is slow (v2.0 was certified “following a public consultation”). But their Series A cuts the other way: the funded thesis is collapsing certification from “12 months or more” to hours via agentic tooling — directly helpful to a develop-alongside timeline. Mitigation still holds: the bolt-on architecture keeps the validated root in place while the SAF branch develops on a parallel track, with quantification decoupled from issuance for an interim basis.</w:t>
            </w:r>
          </w:p>
        </w:tc>
        <w:tc>
          <w:tcPr>
            <w:tcW w:type="dxa" w:w="2880"/>
          </w:tcPr>
          <w:p>
            <w:pPr>
              <w:spacing w:after="20"/>
            </w:pPr>
            <w:r>
              <w:rPr>
                <w:i/>
                <w:color w:val="2E5A88"/>
                <w:sz w:val="19"/>
              </w:rPr>
              <w:t>The binding constraint. Engineer around it.</w:t>
            </w:r>
          </w:p>
        </w:tc>
      </w:tr>
    </w:tbl>
    <w:p>
      <w:pPr>
        <w:keepNext/>
        <w:spacing w:before="240" w:after="60"/>
      </w:pPr>
      <w:r>
        <w:rPr>
          <w:b/>
          <w:color w:val="1F3355"/>
          <w:sz w:val="24"/>
        </w:rPr>
        <w:t>The honest risks</w:t>
      </w:r>
    </w:p>
    <w:p>
      <w:pPr>
        <w:pStyle w:val="ListBullet"/>
        <w:spacing w:after="60"/>
      </w:pPr>
      <w:r>
        <w:rPr>
          <w:b/>
          <w:i w:val="0"/>
          <w:sz w:val="21"/>
        </w:rPr>
        <w:t xml:space="preserve">The credit is defined around an “existing emitter.” </w:t>
      </w:r>
      <w:r>
        <w:rPr>
          <w:b w:val="0"/>
          <w:i w:val="0"/>
          <w:sz w:val="21"/>
        </w:rPr>
        <w:t>Their reduction credit covers gases “generated by an existing emitter” / “from an existing source,” and the two live pathways are end-of-pipe destruction of a gas stream (landfill methane, HFC/ODS). SAF substitution is a different archetype — a fuel-displacement avoided emission. The “avoided fossil CO₂ + counterfactual” language is the bridge, but Isometric must agree the archetype fits. Not guaranteed.</w:t>
      </w:r>
    </w:p>
    <w:p>
      <w:pPr>
        <w:pStyle w:val="ListBullet"/>
        <w:spacing w:after="60"/>
      </w:pPr>
      <w:r>
        <w:rPr>
          <w:b/>
          <w:i w:val="0"/>
          <w:sz w:val="21"/>
        </w:rPr>
        <w:t xml:space="preserve">Attributional vs. consequential. </w:t>
      </w:r>
      <w:r>
        <w:rPr>
          <w:b w:val="0"/>
          <w:i w:val="0"/>
          <w:sz w:val="21"/>
        </w:rPr>
        <w:t>Peter (18 Mar) says Isometric's written questions center on this. I have not read the questions, so I will not characterize them beyond that. The position to land: a voluntary Scope 3 reduction credit, accounted attributionally with mass balance plus flexible attribution. Note the radiocarbon (C14) tension — per the Boeing call (Peter, 11 Mar), CORSIA requires C14 measurement in each fuel fraction, while a consequential view “would allow attribution to any fraction.”</w:t>
      </w:r>
    </w:p>
    <w:p>
      <w:pPr>
        <w:pStyle w:val="ListBullet"/>
        <w:spacing w:after="60"/>
      </w:pPr>
      <w:r>
        <w:rPr>
          <w:b/>
          <w:sz w:val="21"/>
        </w:rPr>
        <w:t xml:space="preserve">Multi-pathway integrity is governed by mass — and that flexibility is the point, not a risk. </w:t>
      </w:r>
      <w:r>
        <w:rPr>
          <w:b w:val="0"/>
          <w:sz w:val="21"/>
        </w:rPr>
        <w:t>Every ton of pyrolysis product — char or oil — can be routed to a removal or a reduction pathway, and we want to send each ton to whichever pathway is most valuable at the time. Integrity is simple mass accounting: each ton is assigned to exactly one pathway and one credit (e.g. X MT char → removal, Y MT char → reduction pathway A, Z MT bio-oil → SAF), so nothing is counted twice. The flip side is the prize for Isometric — keep all of these pathways in one ecosystem and they capture the full, growing revenue stream while we avoid cross-registry interoperability overhead.</w:t>
      </w:r>
    </w:p>
    <w:p>
      <w:pPr>
        <w:pStyle w:val="ListBullet"/>
        <w:spacing w:after="60"/>
      </w:pPr>
      <w:r>
        <w:rPr>
          <w:b/>
          <w:i w:val="0"/>
          <w:sz w:val="21"/>
        </w:rPr>
        <w:t xml:space="preserve">Isometric's appetite is real but nascent. </w:t>
      </w:r>
      <w:r>
        <w:rPr>
          <w:b w:val="0"/>
          <w:i w:val="0"/>
          <w:sz w:val="21"/>
        </w:rPr>
        <w:t>Their CEO called SAF “the most compelling” of the categories they are exploring, but with “a very nascent understanding of the market dynamics” (Peter, 10 Mar). Treat participation as something to win, not assume.</w:t>
      </w:r>
    </w:p>
    <w:p>
      <w:pPr>
        <w:keepNext/>
        <w:spacing w:before="280" w:after="80"/>
        <w:pBdr>
          <w:bottom w:val="single" w:sz="6" w:space="3" w:color="2E5A88"/>
        </w:pBdr>
      </w:pPr>
      <w:r>
        <w:rPr>
          <w:b/>
          <w:color w:val="1F3355"/>
          <w:sz w:val="30"/>
        </w:rPr>
        <w:t>5.  The plan to make the case</w:t>
      </w:r>
    </w:p>
    <w:p>
      <w:pPr>
        <w:spacing w:after="120"/>
      </w:pPr>
      <w:r>
        <w:rPr>
          <w:b w:val="0"/>
          <w:i w:val="0"/>
          <w:sz w:val="21"/>
        </w:rPr>
        <w:t>Six moves. Lead with what only Isometric has, answer the questions they actually raised, and structure the engagement so a new protocol can never stall the coalition.</w:t>
      </w:r>
    </w:p>
    <w:p>
      <w:pPr>
        <w:keepNext/>
        <w:spacing w:before="180" w:after="40"/>
      </w:pPr>
      <w:r>
        <w:rPr>
          <w:b/>
          <w:color w:val="2E5A88"/>
          <w:sz w:val="23"/>
        </w:rPr>
        <w:t>Move 1 — Frame the prize in their own terms.</w:t>
      </w:r>
    </w:p>
    <w:p>
      <w:pPr>
        <w:spacing w:after="120"/>
      </w:pPr>
      <w:r>
        <w:rPr>
          <w:b/>
          <w:i w:val="0"/>
          <w:sz w:val="21"/>
        </w:rPr>
        <w:t xml:space="preserve">Use their own Series A thesis. </w:t>
      </w:r>
      <w:r>
        <w:rPr>
          <w:b w:val="0"/>
          <w:i w:val="0"/>
          <w:sz w:val="21"/>
        </w:rPr>
        <w:t>On 22 June they raised $40M to take agentic certification “across the industrial economy,” the announcement names proving “a fuel is low-carbon” as a target use case, and their site now lists Fuels and Materials as product categories beside Carbon and Superpollutants. Position scalable SAF as a flagship of that fuels expansion — aviation is among the most valuable and hardest-to-abate corners of the transport-and-logistics value chain at the center of industrial GHG accounting. Their CEO already called SAF “the most compelling” category they are exploring, and Amazon and Microsoft — already on their CDR registry — are the demand. This is a strategic first-mover pathway for them, not a favor to Charm.</w:t>
      </w:r>
      <w:r>
        <w:rPr>
          <w:sz w:val="21"/>
        </w:rPr>
        <w:t xml:space="preserve"> And put the full prize on the table: we want to route every ton of pyrolysis product — char or oil, removal or reduction — to its most valuable pathway over time. Keeping all of that under their roof (integrity governed by mass, one ton to one credit) spares us cross-registry interoperability overhead and hands Isometric the entire revenue stream as it scales.</w:t>
      </w:r>
    </w:p>
    <w:p>
      <w:pPr>
        <w:keepNext/>
        <w:spacing w:before="180" w:after="40"/>
      </w:pPr>
      <w:r>
        <w:rPr>
          <w:b/>
          <w:color w:val="2E5A88"/>
          <w:sz w:val="23"/>
        </w:rPr>
        <w:t>Move 2 — Lead with the validated upstream.</w:t>
      </w:r>
    </w:p>
    <w:p>
      <w:pPr>
        <w:spacing w:after="120"/>
      </w:pPr>
      <w:r>
        <w:rPr>
          <w:b w:val="0"/>
          <w:i w:val="0"/>
          <w:sz w:val="21"/>
        </w:rPr>
        <w:t>Walk them through “one root, many branches” from the v16 deck. The bio-oil carbon intensity is already Isometric-validated; the SAF claim reuses that determination rather than rebuilding it. No other registry can say this — it is the whole “why Isometric, not 123 Carbon” argument: continuity of integrity plus far less new work.</w:t>
      </w:r>
    </w:p>
    <w:p>
      <w:pPr>
        <w:keepNext/>
        <w:spacing w:before="180" w:after="40"/>
      </w:pPr>
      <w:r>
        <w:rPr>
          <w:b/>
          <w:color w:val="2E5A88"/>
          <w:sz w:val="23"/>
        </w:rPr>
        <w:t>Move 3 — Answer the questions they actually raised.</w:t>
      </w:r>
    </w:p>
    <w:p>
      <w:pPr>
        <w:pStyle w:val="ListBullet"/>
        <w:spacing w:after="60"/>
      </w:pPr>
      <w:r>
        <w:rPr>
          <w:b/>
          <w:i w:val="0"/>
          <w:sz w:val="21"/>
        </w:rPr>
        <w:t xml:space="preserve">Read the written-questions document first </w:t>
      </w:r>
      <w:r>
        <w:rPr>
          <w:b w:val="0"/>
          <w:i w:val="0"/>
          <w:sz w:val="21"/>
        </w:rPr>
        <w:t>(get it shared to your account), then respond to the attributional-vs-consequential questions Peter flagged on 18 March — rather than guessing at them.</w:t>
      </w:r>
    </w:p>
    <w:p>
      <w:pPr>
        <w:pStyle w:val="ListBullet"/>
        <w:spacing w:after="60"/>
      </w:pPr>
      <w:r>
        <w:rPr>
          <w:b/>
          <w:i w:val="0"/>
          <w:sz w:val="21"/>
        </w:rPr>
        <w:t xml:space="preserve">Land our position in writing: </w:t>
      </w:r>
      <w:r>
        <w:rPr>
          <w:b w:val="0"/>
          <w:i w:val="0"/>
          <w:sz w:val="21"/>
        </w:rPr>
        <w:t>a voluntary Scope 3 reduction credit, accounted attributionally, with flexible attribution framed as standard voluntary book-and-claim practice (distinct from compliance mass balance), and radiocarbon offered as a calibration backstop.</w:t>
      </w:r>
    </w:p>
    <w:p>
      <w:pPr>
        <w:pStyle w:val="ListBullet"/>
        <w:spacing w:after="60"/>
      </w:pPr>
      <w:r>
        <w:rPr>
          <w:b/>
          <w:i w:val="0"/>
          <w:sz w:val="21"/>
        </w:rPr>
        <w:t xml:space="preserve">Show the dual-credit integrity: </w:t>
      </w:r>
      <w:r>
        <w:rPr>
          <w:b w:val="0"/>
          <w:i w:val="0"/>
          <w:sz w:val="21"/>
        </w:rPr>
        <w:t>biochar (removal) and bio-oil (reduction) are physically separate co-products, so no carbon is double-counted.</w:t>
      </w:r>
    </w:p>
    <w:p>
      <w:pPr>
        <w:keepNext/>
        <w:spacing w:before="180" w:after="40"/>
      </w:pPr>
      <w:r>
        <w:rPr>
          <w:b/>
          <w:color w:val="2E5A88"/>
          <w:sz w:val="23"/>
        </w:rPr>
        <w:t>Move 4 — Propose an operating model that protects the timeline.</w:t>
      </w:r>
    </w:p>
    <w:p>
      <w:pPr>
        <w:pStyle w:val="ListBullet"/>
        <w:spacing w:after="60"/>
      </w:pPr>
      <w:r>
        <w:rPr>
          <w:b w:val="0"/>
          <w:i w:val="0"/>
          <w:sz w:val="21"/>
        </w:rPr>
        <w:t>Charm plus a buyer-credible third-party methodology developer draft the SAF reduction module on the RSB normative backbone the deck already scoped.</w:t>
      </w:r>
    </w:p>
    <w:p>
      <w:pPr>
        <w:pStyle w:val="ListBullet"/>
        <w:spacing w:after="60"/>
      </w:pPr>
      <w:r>
        <w:rPr>
          <w:b w:val="0"/>
          <w:i w:val="0"/>
          <w:sz w:val="21"/>
        </w:rPr>
        <w:t>Isometric co-develops alongside — anchored on the already-validated root — rather than starting a protocol from scratch.</w:t>
      </w:r>
    </w:p>
    <w:p>
      <w:pPr>
        <w:pStyle w:val="ListBullet"/>
        <w:spacing w:after="60"/>
      </w:pPr>
      <w:r>
        <w:rPr>
          <w:b w:val="0"/>
          <w:i w:val="0"/>
          <w:sz w:val="21"/>
        </w:rPr>
        <w:t>Decouple quantification and monitoring from registry issuance, so the coalition can transact on a defensible interim basis while the protocol formalizes.</w:t>
      </w:r>
    </w:p>
    <w:p>
      <w:pPr>
        <w:pStyle w:val="ListBullet"/>
        <w:spacing w:after="60"/>
      </w:pPr>
      <w:r>
        <w:rPr>
          <w:b w:val="0"/>
          <w:i w:val="0"/>
          <w:sz w:val="21"/>
        </w:rPr>
        <w:t>Keep the 123 Carbon / SFC MBM route warm as the named fallback (it is what our pathway review recommended and what Amazon already referenced for crude-displacement accounting), so Isometric is never a single point of failure.</w:t>
      </w:r>
    </w:p>
    <w:p>
      <w:pPr>
        <w:keepNext/>
        <w:spacing w:before="180" w:after="40"/>
      </w:pPr>
      <w:r>
        <w:rPr>
          <w:b/>
          <w:color w:val="2E5A88"/>
          <w:sz w:val="23"/>
        </w:rPr>
        <w:t>Move 5 — Bring the coalition to the table.</w:t>
      </w:r>
    </w:p>
    <w:p>
      <w:pPr>
        <w:spacing w:after="120"/>
      </w:pPr>
      <w:r>
        <w:rPr>
          <w:b w:val="0"/>
          <w:i w:val="0"/>
          <w:sz w:val="21"/>
        </w:rPr>
        <w:t>Amazon's and Microsoft's demand — and Microsoft's own methodology governance (its Methodology Governance Council, per Peter's 11 May call) — give Isometric the buyer-backed credibility that de-risks a new pathway. Co-design the integrity requirements with the buyers so the protocol launches with acceptance built in.</w:t>
      </w:r>
    </w:p>
    <w:p>
      <w:pPr>
        <w:keepNext/>
        <w:spacing w:before="180" w:after="40"/>
      </w:pPr>
      <w:r>
        <w:rPr>
          <w:b/>
          <w:color w:val="2E5A88"/>
          <w:sz w:val="23"/>
        </w:rPr>
        <w:t>Move 6 — Make four concrete asks.</w:t>
      </w:r>
    </w:p>
    <w:p>
      <w:pPr>
        <w:pStyle w:val="ListBullet"/>
        <w:spacing w:after="60"/>
      </w:pPr>
      <w:r>
        <w:rPr>
          <w:b w:val="0"/>
          <w:i w:val="0"/>
          <w:sz w:val="21"/>
        </w:rPr>
        <w:t>A scoping conversation to confirm whether a SAF / aviation-fuel reduction pathway is on their post-superpollutant roadmap under v2.x.</w:t>
      </w:r>
    </w:p>
    <w:p>
      <w:pPr>
        <w:pStyle w:val="ListBullet"/>
        <w:spacing w:after="60"/>
      </w:pPr>
      <w:r>
        <w:rPr>
          <w:b w:val="0"/>
          <w:i w:val="0"/>
          <w:sz w:val="21"/>
        </w:rPr>
        <w:t>Access to the written-questions document, then our written response.</w:t>
      </w:r>
    </w:p>
    <w:p>
      <w:pPr>
        <w:pStyle w:val="ListBullet"/>
        <w:spacing w:after="60"/>
      </w:pPr>
      <w:r>
        <w:rPr>
          <w:b w:val="0"/>
          <w:i w:val="0"/>
          <w:sz w:val="21"/>
        </w:rPr>
        <w:t>A clear read on their environmental-attribute-credit posture for fuels (their CEO's interest versus how far they will actually build).</w:t>
      </w:r>
    </w:p>
    <w:p>
      <w:pPr>
        <w:pStyle w:val="ListBullet"/>
        <w:spacing w:after="60"/>
      </w:pPr>
      <w:r>
        <w:rPr>
          <w:b w:val="0"/>
          <w:i w:val="0"/>
          <w:sz w:val="21"/>
        </w:rPr>
        <w:t>Agreement on a parallel-track development plan with explicit, written non-blocking commitments on timeline.</w:t>
      </w:r>
    </w:p>
    <w:p>
      <w:pPr>
        <w:keepNext/>
        <w:spacing w:before="280" w:after="80"/>
        <w:pBdr>
          <w:bottom w:val="single" w:sz="6" w:space="3" w:color="2E5A88"/>
        </w:pBdr>
      </w:pPr>
      <w:r>
        <w:rPr>
          <w:b/>
          <w:color w:val="1F3355"/>
          <w:sz w:val="30"/>
        </w:rPr>
        <w:t>6.  Recommendation and next steps</w:t>
      </w:r>
    </w:p>
    <w:p>
      <w:pPr>
        <w:spacing w:after="120"/>
      </w:pPr>
      <w:r>
        <w:rPr>
          <w:b/>
          <w:i w:val="0"/>
          <w:sz w:val="21"/>
        </w:rPr>
        <w:t xml:space="preserve">Pursue Isometric as the preferred home for the SAF reduction credit, </w:t>
      </w:r>
      <w:r>
        <w:rPr>
          <w:b w:val="0"/>
          <w:i w:val="0"/>
          <w:sz w:val="21"/>
        </w:rPr>
        <w:t>on the strength of the validated upstream and their stated interest — but do not single-thread on them. Keep 123 Carbon / SFC MBM warm as the named fallback, and make Isometric's role conditional on a timeline that runs alongside deployment.</w:t>
      </w:r>
    </w:p>
    <w:p>
      <w:pPr>
        <w:pStyle w:val="ListBullet"/>
        <w:spacing w:after="60"/>
      </w:pPr>
      <w:r>
        <w:rPr>
          <w:b/>
          <w:i w:val="0"/>
          <w:sz w:val="21"/>
        </w:rPr>
        <w:t xml:space="preserve">This week: </w:t>
      </w:r>
      <w:r>
        <w:rPr>
          <w:b w:val="0"/>
          <w:i w:val="0"/>
          <w:sz w:val="21"/>
        </w:rPr>
        <w:t>decide internally that Isometric is preferred, and the conditions that would trigger the 123 Carbon fallback.</w:t>
      </w:r>
    </w:p>
    <w:p>
      <w:pPr>
        <w:pStyle w:val="ListBullet"/>
        <w:spacing w:after="60"/>
      </w:pPr>
      <w:r>
        <w:rPr>
          <w:b/>
          <w:i w:val="0"/>
          <w:sz w:val="21"/>
        </w:rPr>
        <w:t xml:space="preserve">Get access to and read Isometric's written-questions document, </w:t>
      </w:r>
      <w:r>
        <w:rPr>
          <w:b w:val="0"/>
          <w:i w:val="0"/>
          <w:sz w:val="21"/>
        </w:rPr>
        <w:t>then draft the response on attributional vs. consequential.</w:t>
      </w:r>
    </w:p>
    <w:p>
      <w:pPr>
        <w:pStyle w:val="ListBullet"/>
        <w:spacing w:after="60"/>
      </w:pPr>
      <w:r>
        <w:rPr>
          <w:b/>
          <w:i w:val="0"/>
          <w:sz w:val="21"/>
        </w:rPr>
        <w:t xml:space="preserve">Book the scoping call </w:t>
      </w:r>
      <w:r>
        <w:rPr>
          <w:b w:val="0"/>
          <w:i w:val="0"/>
          <w:sz w:val="21"/>
        </w:rPr>
        <w:t>on a SAF reduction pathway under v2.x, and get a straight read on how far they will build for fuels.</w:t>
      </w:r>
    </w:p>
    <w:p>
      <w:pPr>
        <w:pStyle w:val="ListBullet"/>
        <w:spacing w:after="60"/>
      </w:pPr>
      <w:r>
        <w:rPr>
          <w:b/>
          <w:i w:val="0"/>
          <w:sz w:val="21"/>
        </w:rPr>
        <w:t xml:space="preserve">In parallel: </w:t>
      </w:r>
      <w:r>
        <w:rPr>
          <w:b w:val="0"/>
          <w:i w:val="0"/>
          <w:sz w:val="21"/>
        </w:rPr>
        <w:t>settle internal buyer-prioritization before coalition outreach, and confirm whether our bio-oil carbon-intensity figure is pre- or post-allocation, since it drives every threshold.</w:t>
      </w:r>
    </w:p>
    <w:p>
      <w:pPr>
        <w:keepNext/>
        <w:spacing w:before="240" w:after="40"/>
      </w:pPr>
      <w:r>
        <w:rPr>
          <w:b/>
          <w:color w:val="555555"/>
          <w:sz w:val="22"/>
        </w:rPr>
        <w:t>Sources — all read directly this session</w:t>
      </w:r>
    </w:p>
    <w:p>
      <w:pPr>
        <w:pStyle w:val="ListBullet"/>
        <w:spacing w:after="40"/>
      </w:pPr>
      <w:r>
        <w:rPr>
          <w:b/>
          <w:i w:val="0"/>
          <w:sz w:val="21"/>
        </w:rPr>
        <w:t xml:space="preserve">Isometric Standard v2.1, §1.3.2 and reductions reporting clauses — </w:t>
      </w:r>
      <w:r>
        <w:rPr>
          <w:b w:val="0"/>
          <w:i w:val="0"/>
          <w:sz w:val="21"/>
        </w:rPr>
        <w:t>registry.isometric.com/standard, opened in-browser 29 Jun 2026.</w:t>
      </w:r>
    </w:p>
    <w:p>
      <w:pPr>
        <w:pStyle w:val="ListBullet"/>
        <w:spacing w:after="40"/>
      </w:pPr>
      <w:r>
        <w:rPr>
          <w:b/>
          <w:i w:val="0"/>
          <w:sz w:val="21"/>
        </w:rPr>
        <w:t xml:space="preserve">Isometric, “Isometric certifies Version 2.0 of the Standard,” 2 Apr 2026 — </w:t>
      </w:r>
      <w:r>
        <w:rPr>
          <w:b w:val="0"/>
          <w:i w:val="0"/>
          <w:sz w:val="21"/>
        </w:rPr>
        <w:t>isometric.com, opened in-browser 29 Jun 2026.</w:t>
      </w:r>
    </w:p>
    <w:p>
      <w:pPr>
        <w:pStyle w:val="ListBullet"/>
        <w:spacing w:after="40"/>
      </w:pPr>
      <w:r>
        <w:rPr>
          <w:b/>
          <w:sz w:val="21"/>
        </w:rPr>
        <w:t xml:space="preserve">Isometric, “Isometric raises $40M to bring agentic certification to the industrial economy,” 22 Jun 2026 — </w:t>
      </w:r>
      <w:r>
        <w:rPr>
          <w:sz w:val="21"/>
        </w:rPr>
        <w:t>isometric.com, opened in-browser 29 Jun 2026.</w:t>
      </w:r>
    </w:p>
    <w:p>
      <w:pPr>
        <w:pStyle w:val="ListBullet"/>
        <w:spacing w:after="40"/>
      </w:pPr>
      <w:r>
        <w:rPr>
          <w:b/>
          <w:i w:val="0"/>
          <w:sz w:val="21"/>
        </w:rPr>
        <w:t xml:space="preserve">Peter Reinhardt, #oil-materials — </w:t>
      </w:r>
      <w:r>
        <w:rPr>
          <w:b w:val="0"/>
          <w:i w:val="0"/>
          <w:sz w:val="21"/>
        </w:rPr>
        <w:t>10 Mar (Isometric CEO meeting), 11 Mar (Boeing call), 18 Mar (Isometric written questions), 13 Apr (biomass-scale figures), 11 May (Microsoft / 123 Carbon calls), 19 Jun (Amazon call). Messages read directly.</w:t>
      </w:r>
    </w:p>
    <w:p>
      <w:pPr>
        <w:pStyle w:val="ListBullet"/>
        <w:spacing w:after="40"/>
      </w:pPr>
      <w:r>
        <w:rPr>
          <w:b/>
          <w:i w:val="0"/>
          <w:sz w:val="21"/>
        </w:rPr>
        <w:t xml:space="preserve">Charm Drive files opened directly: </w:t>
      </w:r>
      <w:r>
        <w:rPr>
          <w:b w:val="0"/>
          <w:i w:val="0"/>
          <w:sz w:val="21"/>
        </w:rPr>
        <w:t>SAF Methodology Normative References Deck v16; SAF Credit Pathway Options Review (2 Jun 2026); Regulatory Feasibility of Cross-Product Carbon Attribution.</w:t>
      </w:r>
    </w:p>
    <w:p>
      <w:pPr>
        <w:pStyle w:val="ListBullet"/>
        <w:spacing w:after="40"/>
      </w:pPr>
      <w:r>
        <w:rPr>
          <w:b/>
          <w:i w:val="0"/>
          <w:sz w:val="21"/>
        </w:rPr>
        <w:t xml:space="preserve">Not used: </w:t>
      </w:r>
      <w:r>
        <w:rPr>
          <w:b w:val="0"/>
          <w:i w:val="0"/>
          <w:sz w:val="21"/>
        </w:rPr>
        <w:t>the Isometric Module Push Tracker (local file), any agent-generated summary, and the access-restricted written-questions Google Doc (unread).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