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9C4BEC" w14:textId="77777777" w:rsidR="00E13776" w:rsidRDefault="00000000">
      <w:pPr>
        <w:spacing w:after="120"/>
      </w:pPr>
      <w:r>
        <w:t>This note sets out a working thesis for how Charm brings a bio-oil-derived Sustainable Aviation Fuel (SAF) pathway to market: certify eventually, but do not let full certification gate concept-proof or the first transactions. Start with a rigorous, transparent, non-certified “bolt-on” methodology that buyers and a registry will accept, and formalize the route to certification in parallel.</w:t>
      </w:r>
    </w:p>
    <w:p w14:paraId="60195FB8" w14:textId="77777777" w:rsidR="00E13776" w:rsidRDefault="00000000">
      <w:pPr>
        <w:spacing w:before="280" w:after="80"/>
      </w:pPr>
      <w:r>
        <w:rPr>
          <w:b/>
          <w:color w:val="1F3864"/>
          <w:sz w:val="30"/>
        </w:rPr>
        <w:t>1. The end state is certification</w:t>
      </w:r>
    </w:p>
    <w:p w14:paraId="4879FE85" w14:textId="77777777" w:rsidR="00E13776" w:rsidRDefault="00000000">
      <w:pPr>
        <w:spacing w:after="120"/>
      </w:pPr>
      <w:r>
        <w:t>To grow SAF from bio-oil into a mature, durable pathway, Charm will ultimately need formal certification. Certification is what unlocks the broadest market access and buyer confidence at scale.</w:t>
      </w:r>
    </w:p>
    <w:p w14:paraId="0B2604A5" w14:textId="77777777" w:rsidR="00E13776" w:rsidRDefault="00000000">
      <w:pPr>
        <w:spacing w:before="280" w:after="80"/>
      </w:pPr>
      <w:r>
        <w:rPr>
          <w:b/>
          <w:color w:val="1F3864"/>
          <w:sz w:val="30"/>
        </w:rPr>
        <w:t>2. The obstacle: cost, time, and a certified refinery partner</w:t>
      </w:r>
    </w:p>
    <w:p w14:paraId="4C8CD6A1" w14:textId="77777777" w:rsidR="00E13776" w:rsidRDefault="00000000">
      <w:pPr>
        <w:spacing w:after="120"/>
      </w:pPr>
      <w:r>
        <w:t>Full certification is demanding on time and internal effort, and — most challenging — it requires a certified refinery partner to co-process the bio-oil. That partner dependency is outside Charm’s direct control and cannot be manufactured on Charm’s timeline.</w:t>
      </w:r>
    </w:p>
    <w:p w14:paraId="5212AA2A" w14:textId="77777777" w:rsidR="00E13776" w:rsidRDefault="00000000">
      <w:pPr>
        <w:spacing w:before="280" w:after="80"/>
      </w:pPr>
      <w:r>
        <w:rPr>
          <w:b/>
          <w:color w:val="1F3864"/>
          <w:sz w:val="30"/>
        </w:rPr>
        <w:t>3. Principle: don’t gate the early work on full certification</w:t>
      </w:r>
    </w:p>
    <w:p w14:paraId="3116F8A2" w14:textId="77777777" w:rsidR="00E13776" w:rsidRDefault="00000000">
      <w:pPr>
        <w:spacing w:after="120"/>
      </w:pPr>
      <w:r>
        <w:t>Proving the concept, and even executing initial transactions, should not be saddled with the full weight and timeline of certification. The early phase needs a path that is credible and defensible without waiting on a certified refinery.</w:t>
      </w:r>
    </w:p>
    <w:p w14:paraId="594D1D7E" w14:textId="77777777" w:rsidR="00E13776" w:rsidRDefault="00000000">
      <w:pPr>
        <w:spacing w:before="280" w:after="80"/>
      </w:pPr>
      <w:r>
        <w:rPr>
          <w:b/>
          <w:color w:val="1F3864"/>
          <w:sz w:val="30"/>
        </w:rPr>
        <w:t>4. The interim approach: a non-certified “bolt-on” methodology</w:t>
      </w:r>
    </w:p>
    <w:p w14:paraId="7E713EEA" w14:textId="77777777" w:rsidR="00E13776" w:rsidRDefault="00000000">
      <w:pPr>
        <w:spacing w:after="120"/>
      </w:pPr>
      <w:r>
        <w:t>Charm starts by transacting on the non-certified bolt-on methodology — Charm’s validated CDR “root” (biomass qualification through pyrolysis co-product CI) with a reputable, published downstream methodology bolted on for co-processing — provided two conditions are met:</w:t>
      </w:r>
    </w:p>
    <w:p w14:paraId="59879689" w14:textId="221779E6" w:rsidR="00E13776" w:rsidRDefault="00000000">
      <w:pPr>
        <w:pStyle w:val="ListBullet"/>
        <w:spacing w:after="60"/>
      </w:pPr>
      <w:r>
        <w:t>Buyer acceptance. Amazon</w:t>
      </w:r>
      <w:r w:rsidR="00E4283C">
        <w:t xml:space="preserve"> (et al.)</w:t>
      </w:r>
      <w:r>
        <w:t xml:space="preserve"> </w:t>
      </w:r>
      <w:r w:rsidR="0042021B">
        <w:t>is</w:t>
      </w:r>
      <w:r>
        <w:t xml:space="preserve"> comfortable with the non-certified method, provided Charm shows its work in full.</w:t>
      </w:r>
    </w:p>
    <w:p w14:paraId="41A6E574" w14:textId="77777777" w:rsidR="00E13776" w:rsidRDefault="00000000">
      <w:pPr>
        <w:pStyle w:val="ListBullet"/>
        <w:spacing w:after="60"/>
      </w:pPr>
      <w:r>
        <w:t>Registry acceptance. Either Isometric or 123Carbon is willing to host the SAF environmental attributes.</w:t>
      </w:r>
    </w:p>
    <w:p w14:paraId="3ABD6B42" w14:textId="77777777" w:rsidR="005D0145" w:rsidRDefault="00000000">
      <w:pPr>
        <w:spacing w:before="200" w:after="60"/>
      </w:pPr>
      <w:r>
        <w:rPr>
          <w:b/>
          <w:color w:val="1F3864"/>
          <w:sz w:val="26"/>
        </w:rPr>
        <w:t>4a. Scenario A — Isometric hosts the SAF attributes</w:t>
      </w:r>
    </w:p>
    <w:p w14:paraId="0FC88DD5" w14:textId="77E2571D" w:rsidR="005D0145" w:rsidRDefault="00000000">
      <w:pPr>
        <w:spacing w:after="120"/>
      </w:pPr>
      <w:r>
        <w:t>If Isometric stands up a SAF pathway, it develops the SAF methodology itself. That fits the bolt-on cleanly, because Isometric also owns the “root” — the validated CDR methodology Charm already runs. The registry that owns the root authors the branch, so there is no separate need to formalize the bolt-on through a third-party developer</w:t>
      </w:r>
      <w:r w:rsidR="00E4283C">
        <w:t>, that workstream shifts to Isometric</w:t>
      </w:r>
      <w:r>
        <w:t>.</w:t>
      </w:r>
    </w:p>
    <w:p w14:paraId="1BF5E977" w14:textId="77777777" w:rsidR="005D0145" w:rsidRDefault="00000000">
      <w:pPr>
        <w:spacing w:before="200" w:after="60"/>
      </w:pPr>
      <w:r>
        <w:rPr>
          <w:b/>
          <w:color w:val="1F3864"/>
          <w:sz w:val="26"/>
        </w:rPr>
        <w:t>4b. Scenario B — 123Carbon hosts the SAF attributes</w:t>
      </w:r>
    </w:p>
    <w:p w14:paraId="440A3FD7" w14:textId="607189BC" w:rsidR="005D0145" w:rsidRDefault="00000000">
      <w:pPr>
        <w:spacing w:after="120"/>
      </w:pPr>
      <w:r>
        <w:lastRenderedPageBreak/>
        <w:t>The claim runs on 123Carbon’s SFC MBM framework. Because 123Carbon does not own the root, Charm builds the bolt-on itself: it engages a third-party methodology developer to formalize the bolt-on into a verifiable methodology document</w:t>
      </w:r>
      <w:r w:rsidR="00E4283C">
        <w:t>.</w:t>
      </w:r>
    </w:p>
    <w:p w14:paraId="583FEB21" w14:textId="77777777" w:rsidR="00E13776" w:rsidRDefault="00000000">
      <w:pPr>
        <w:spacing w:after="120"/>
      </w:pPr>
      <w:r>
        <w:t>“Show our work” has a concrete bar: a transparent, documented methodology, independent third-party verification, and full disclosure to the buyer/registry. Non-certified does not mean unverified.</w:t>
      </w:r>
    </w:p>
    <w:p w14:paraId="272C2A88" w14:textId="77777777" w:rsidR="00E13776" w:rsidRDefault="00000000">
      <w:pPr>
        <w:spacing w:after="120"/>
      </w:pPr>
      <w:r>
        <w:t>Double-counting between the CDR and SAF claims is handled by a physical inventory split: bio-oil is allocated by physical tonnage to each stream. For example, of 10 tonnes of bio-oil, 6 tonnes sent to SAF leaves 4 tonnes for CDR — the two claims never rest on the same physical material.</w:t>
      </w:r>
    </w:p>
    <w:p w14:paraId="64685934" w14:textId="77777777" w:rsidR="00E13776" w:rsidRDefault="00000000">
      <w:pPr>
        <w:spacing w:before="280" w:after="80"/>
      </w:pPr>
      <w:r>
        <w:rPr>
          <w:b/>
          <w:color w:val="1F3864"/>
          <w:sz w:val="30"/>
        </w:rPr>
        <w:t>5. Eventual certification target: ISCC PLUS</w:t>
      </w:r>
    </w:p>
    <w:p w14:paraId="123309C4" w14:textId="77777777" w:rsidR="00E13776" w:rsidRDefault="00000000">
      <w:pPr>
        <w:spacing w:after="120"/>
      </w:pPr>
      <w:r>
        <w:t xml:space="preserve">The certification we build toward is ISCC PLUS. The deciding factor is refinery availability in the United States: there are currently no RSB-certified refineries doing co-processing in the U.S., versus roughly five or six ISCC-certified ones. Because the certified-refinery partner is the hardest dependency, the scheme with an existing U.S. certified-refinery base is the pragmatic target. </w:t>
      </w:r>
    </w:p>
    <w:p w14:paraId="4B0A70EE" w14:textId="52CD87E3" w:rsidR="00E13776" w:rsidRDefault="00000000">
      <w:pPr>
        <w:spacing w:before="280" w:after="80"/>
      </w:pPr>
      <w:r>
        <w:rPr>
          <w:b/>
          <w:color w:val="1F3864"/>
          <w:sz w:val="30"/>
        </w:rPr>
        <w:t>6. Next step</w:t>
      </w:r>
      <w:r w:rsidR="00E4283C">
        <w:rPr>
          <w:b/>
          <w:color w:val="1F3864"/>
          <w:sz w:val="30"/>
        </w:rPr>
        <w:t>s</w:t>
      </w:r>
    </w:p>
    <w:p w14:paraId="6A9B344C" w14:textId="77777777" w:rsidR="00E13776" w:rsidRDefault="00000000">
      <w:pPr>
        <w:spacing w:after="120"/>
      </w:pPr>
      <w:r>
        <w:t>Charm issues an RFP for a qualified third-party methodology developer to deliver two things:</w:t>
      </w:r>
    </w:p>
    <w:p w14:paraId="67B8B70B" w14:textId="1F01B1B3" w:rsidR="00E4283C" w:rsidRDefault="00E4283C">
      <w:pPr>
        <w:pStyle w:val="ListBullet"/>
        <w:spacing w:after="60"/>
      </w:pPr>
      <w:r>
        <w:t>Confirm conditions for bolt-on are met</w:t>
      </w:r>
    </w:p>
    <w:p w14:paraId="7E46C330" w14:textId="6B9841B4" w:rsidR="00E4283C" w:rsidRDefault="00E4283C" w:rsidP="00E4283C">
      <w:pPr>
        <w:pStyle w:val="ListBullet"/>
        <w:tabs>
          <w:tab w:val="clear" w:pos="360"/>
          <w:tab w:val="num" w:pos="720"/>
        </w:tabs>
        <w:spacing w:after="60"/>
        <w:ind w:left="720"/>
      </w:pPr>
      <w:r>
        <w:t>123 Carbon will register non-certified credits given buyer is comfortable</w:t>
      </w:r>
    </w:p>
    <w:p w14:paraId="44D188E3" w14:textId="5C2CB3CD" w:rsidR="00E4283C" w:rsidRDefault="00E4283C" w:rsidP="00E4283C">
      <w:pPr>
        <w:pStyle w:val="ListBullet"/>
        <w:tabs>
          <w:tab w:val="clear" w:pos="360"/>
          <w:tab w:val="num" w:pos="720"/>
        </w:tabs>
        <w:spacing w:after="60"/>
        <w:ind w:left="720"/>
      </w:pPr>
      <w:r>
        <w:t>Amazon will buy non-certified credits given a registry to manage them</w:t>
      </w:r>
    </w:p>
    <w:p w14:paraId="25C07655" w14:textId="20D07374" w:rsidR="00E13776" w:rsidRDefault="00E4283C">
      <w:pPr>
        <w:pStyle w:val="ListBullet"/>
        <w:spacing w:after="60"/>
      </w:pPr>
      <w:r>
        <w:t>Engage Isometric with a near-term goal of pressure-testing alignment on carbon accounting must-haves (e.g. flexible allocation/mass balance</w:t>
      </w:r>
      <w:r w:rsidR="00A42584">
        <w:t>)</w:t>
      </w:r>
    </w:p>
    <w:p w14:paraId="37F56FA2" w14:textId="77E9FB09" w:rsidR="00071E09" w:rsidRDefault="00071E09" w:rsidP="00A42584">
      <w:pPr>
        <w:spacing w:after="120"/>
      </w:pPr>
    </w:p>
    <w:sectPr w:rsidR="00071E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460C4C"/>
    <w:multiLevelType w:val="hybridMultilevel"/>
    <w:tmpl w:val="6B843F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1722110">
    <w:abstractNumId w:val="8"/>
  </w:num>
  <w:num w:numId="2" w16cid:durableId="1016276089">
    <w:abstractNumId w:val="6"/>
  </w:num>
  <w:num w:numId="3" w16cid:durableId="314921842">
    <w:abstractNumId w:val="5"/>
  </w:num>
  <w:num w:numId="4" w16cid:durableId="2090616830">
    <w:abstractNumId w:val="4"/>
  </w:num>
  <w:num w:numId="5" w16cid:durableId="505218472">
    <w:abstractNumId w:val="7"/>
  </w:num>
  <w:num w:numId="6" w16cid:durableId="828591343">
    <w:abstractNumId w:val="3"/>
  </w:num>
  <w:num w:numId="7" w16cid:durableId="2106996370">
    <w:abstractNumId w:val="2"/>
  </w:num>
  <w:num w:numId="8" w16cid:durableId="1493134175">
    <w:abstractNumId w:val="1"/>
  </w:num>
  <w:num w:numId="9" w16cid:durableId="1855915809">
    <w:abstractNumId w:val="0"/>
  </w:num>
  <w:num w:numId="10" w16cid:durableId="625936745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E09"/>
    <w:rsid w:val="0015074B"/>
    <w:rsid w:val="0029639D"/>
    <w:rsid w:val="00326F90"/>
    <w:rsid w:val="0041082B"/>
    <w:rsid w:val="0042021B"/>
    <w:rsid w:val="005D0145"/>
    <w:rsid w:val="00A42584"/>
    <w:rsid w:val="00AA1D8D"/>
    <w:rsid w:val="00B47730"/>
    <w:rsid w:val="00CB0664"/>
    <w:rsid w:val="00CD0062"/>
    <w:rsid w:val="00E13776"/>
    <w:rsid w:val="00E4283C"/>
    <w:rsid w:val="00FA22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C86E9C"/>
  <w14:defaultImageDpi w14:val="300"/>
  <w15:docId w15:val="{C4F83E71-4C8E-3D42-A143-31926A06F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 Bernard Lavine</cp:lastModifiedBy>
  <cp:revision>4</cp:revision>
  <dcterms:created xsi:type="dcterms:W3CDTF">2013-12-23T23:15:00Z</dcterms:created>
  <dcterms:modified xsi:type="dcterms:W3CDTF">2026-07-24T22:56:00Z</dcterms:modified>
  <cp:category/>
</cp:coreProperties>
</file>