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2"/>
        </w:rPr>
        <w:t>GCC Biochar — Emissions Allocation: Why "Loading the Char" Fails and Why the EAC Path Is Clean</w:t>
      </w:r>
    </w:p>
    <w:p>
      <w:r>
        <w:rPr>
          <w:color w:val="555555"/>
          <w:sz w:val="19"/>
        </w:rPr>
        <w:t>Internal strategy note · 15 July 2026 · re: Brian Jamieson GCC update (thread #partnerships)</w:t>
      </w:r>
    </w:p>
    <w:p>
      <w:r>
        <w:rPr>
          <w:color w:val="CCCCCC"/>
        </w:rPr>
        <w:t>_______________________________________________________________________________________________</w:t>
      </w:r>
    </w:p>
    <w:p>
      <w:r>
        <w:rPr>
          <w:b/>
          <w:color w:val="1F3864"/>
          <w:sz w:val="28"/>
        </w:rPr>
        <w:t>Context</w:t>
      </w:r>
    </w:p>
    <w:p>
      <w:r>
        <w:t>GCC will run a biochar-for-coal technical trial but will not share its kiln operating or Scope 1 emissions data ("the emissions reduction is something we would have to keep on our side"). That kills the Scope 1 substitution ("Charbitrage") design as originally scoped. Brian's proposed rescue is a char Environmental Product Declaration (EPD) that "loads all bio-oil and char embodied emissions to the char, or at least the maximum feasible amount," plus a kiln affidavit that char displaced coal on an energy basis — the aim being to insulate the bio-oil CDR and present a char that, even worst-case, still beats coal.</w:t>
      </w:r>
    </w:p>
    <w:p>
      <w:r>
        <w:t>This note tests that approach against the Isometric GHG Accounting Module co-product allocation rules (§6.1 / Appendix D). We hold v1.1; the Biochar Production and Storage Protocol v1.2 cites v1.0, but the four-procedure framework is the governing text either way.</w:t>
      </w:r>
    </w:p>
    <w:p>
      <w:r>
        <w:rPr>
          <w:b/>
          <w:color w:val="1F3864"/>
          <w:sz w:val="28"/>
        </w:rPr>
        <w:t>Bottom line</w:t>
      </w:r>
    </w:p>
    <w:p>
      <w:pPr>
        <w:pStyle w:val="ListBullet"/>
      </w:pPr>
      <w:r>
        <w:t>The "load emissions onto the char" move is not a permitted allocation. The only "allocate-all" procedure runs toward the CDR product, never away from it. (§6.1, Procedure 1.)</w:t>
      </w:r>
    </w:p>
    <w:p>
      <w:pPr>
        <w:pStyle w:val="ListBullet"/>
      </w:pPr>
      <w:r>
        <w:t>Even if it were permitted, it defeats itself: overloaded char fails the net-negativity gate that the substitution method requires before it can be used. (§6.1, Procedure 3, EC3.)</w:t>
      </w:r>
    </w:p>
    <w:p>
      <w:pPr>
        <w:pStyle w:val="ListBullet"/>
      </w:pPr>
      <w:r>
        <w:t>It manufactures bio-oil risk. The protocol codifies exactly the clawback we feared — if the char side does not credit, the full burden reallocates to the primary product and becomes a deficit deducted from future crediting. (§6.1, Procedure 4 corrective mechanism.)</w:t>
      </w:r>
    </w:p>
    <w:p>
      <w:pPr>
        <w:pStyle w:val="ListBullet"/>
      </w:pPr>
      <w:r>
        <w:t>The EPD idea specifically is prohibited: the avoided burden cannot sit in a co-product EPD and be claimed as CDR. (§6.1, Procedure 3, EC4; §6.2.)</w:t>
      </w:r>
    </w:p>
    <w:p>
      <w:pPr>
        <w:pStyle w:val="ListBullet"/>
      </w:pPr>
      <w:r>
        <w:t>Recommendation: pursue the EAC / carve-out, which is simply Procedure 1 (the protocol's own "most conservative approach") applied to the retained CDR products. Take the EPD-loading angle off the board.</w:t>
      </w:r>
    </w:p>
    <w:p>
      <w:r>
        <w:rPr>
          <w:b/>
          <w:color w:val="1F3864"/>
          <w:sz w:val="28"/>
        </w:rPr>
        <w:t>1. The allocation rule leaves no room for the loading move</w:t>
      </w:r>
    </w:p>
    <w:p>
      <w:r>
        <w:t>Co-product allocation has exactly four sanctioned procedures, chosen by a decision tree — not by accounting preference:</w:t>
      </w:r>
    </w:p>
    <w:p>
      <w:pPr>
        <w:pStyle w:val="ListBullet"/>
      </w:pPr>
      <w:r>
        <w:t>Procedure 1 — Allocate all emissions to CDR (most conservative).</w:t>
      </w:r>
    </w:p>
    <w:p>
      <w:pPr>
        <w:pStyle w:val="ListBullet"/>
      </w:pPr>
      <w:r>
        <w:t>Procedure 2 — Divide the process into sub-processes (only where physically separable and dedicated exclusively to one product; joint pyrolysis is not).</w:t>
      </w:r>
    </w:p>
    <w:p>
      <w:pPr>
        <w:pStyle w:val="ListBullet"/>
      </w:pPr>
      <w:r>
        <w:t>Procedure 3 — "Substitution method" (avoided-burden, for a co-product displacing another product).</w:t>
      </w:r>
    </w:p>
    <w:p>
      <w:pPr>
        <w:pStyle w:val="ListBullet"/>
      </w:pPr>
      <w:r>
        <w:t>Procedure 4 — Carbon mass balance (when both outputs are credited as CDR with Isometric).</w:t>
      </w:r>
    </w:p>
    <w:p>
      <w:r>
        <w:t>Each keys off an objective physical basis — Procedure 4 allocates by CO₂ stored (F_Allocation = CO₂eStored[CDR product] ÷ CO₂eStored[Total]); the biochar module’s alternative is energy content. Critically, the sole "put everything on one product" option is Procedure 1, and it points at CDR. There is no procedure that loads emissions onto the co-product to unburden the CDR. Brian’s direction is not disfavored — it is absent from the menu.</w:t>
      </w:r>
    </w:p>
    <w:p>
      <w:pPr>
        <w:ind w:left="504"/>
      </w:pPr>
      <w:r>
        <w:rPr>
          <w:i/>
          <w:color w:val="555555"/>
          <w:sz w:val="21"/>
        </w:rPr>
        <w:t>Procedure 1: "Projects may opt to allocate all Project emissions to CDR… This may mean emissions are double counted. Removals must not be double counted. This is the most conservative approach to take."</w:t>
      </w:r>
    </w:p>
    <w:p>
      <w:r>
        <w:rPr>
          <w:b/>
          <w:color w:val="1F3864"/>
          <w:sz w:val="28"/>
        </w:rPr>
        <w:t>2. Three reasons the loading fails — against the text</w:t>
      </w:r>
    </w:p>
    <w:p>
      <w:r>
        <w:rPr>
          <w:b/>
          <w:color w:val="1F3864"/>
          <w:sz w:val="23"/>
        </w:rPr>
        <w:t>2.1  Allocation must be objective, not favorable</w:t>
      </w:r>
    </w:p>
    <w:p>
      <w:r>
        <w:t>Confirmed by the closed four-procedure menu above. No procedure permits allocation by accounting favorability, and the only allocate-all option is the conservative direction (onto CDR).</w:t>
      </w:r>
    </w:p>
    <w:p>
      <w:r>
        <w:rPr>
          <w:b/>
          <w:color w:val="1F3864"/>
          <w:sz w:val="23"/>
        </w:rPr>
        <w:t>2.2  Overloading breaks net-negativity — a hard eligibility gate</w:t>
      </w:r>
    </w:p>
    <w:p>
      <w:r>
        <w:t>The substitution method can only be applied if the project first clears EC3:</w:t>
      </w:r>
    </w:p>
    <w:p>
      <w:pPr>
        <w:ind w:left="504"/>
      </w:pPr>
      <w:r>
        <w:rPr>
          <w:i/>
          <w:color w:val="555555"/>
          <w:sz w:val="21"/>
        </w:rPr>
        <w:t>EC3 — Demonstrated net negativity: "The Project must demonstrate net negative CO₂e removals before the application of the substitution method. This ensures that the substitution method does not enable the crediting of net emitting processes."</w:t>
      </w:r>
    </w:p>
    <w:p>
      <w:r>
        <w:t>Char that has been loaded to the point of going net-positive cannot enter the method at all. (Illustrative, per-tonne: ~2.0 tCO₂e stored − ~2.5 tCO₂e loaded = −0.5 → net-positive → ineligible. Figures illustrative only.)</w:t>
      </w:r>
    </w:p>
    <w:p>
      <w:r>
        <w:rPr>
          <w:b/>
          <w:color w:val="1F3864"/>
          <w:sz w:val="23"/>
        </w:rPr>
        <w:t>2.3  It manufactures bio-oil risk — and the clawback is codified</w:t>
      </w:r>
    </w:p>
    <w:p>
      <w:r>
        <w:t>Loading emissions onto char is the same act as un-loading them from bio-oil, so the bio-oil removal is overstated and its credits inflated. That overstatement holds only while the char accounting survives — it couples two otherwise-independent ledgers and concentrates the risk on our highest-volume, forward-sold product. The protocol names the failure mode directly in Procedure 4’s corrective mechanism:</w:t>
      </w:r>
    </w:p>
    <w:p>
      <w:pPr>
        <w:ind w:left="504"/>
      </w:pPr>
      <w:r>
        <w:rPr>
          <w:i/>
          <w:color w:val="555555"/>
          <w:sz w:val="21"/>
        </w:rPr>
        <w:t>"Reallocate the full emissions burden to the primary product. Any resulting emissions deficit… must be carried forward and deducted from subsequent Reporting Periods until the deficit is fully accounted for."</w:t>
      </w:r>
    </w:p>
    <w:p>
      <w:r>
        <w:t>If the char side falls through, the burden snaps back onto the oil and becomes a debt clawed out of future bio-oil crediting — expensive against customer delivery targets. Note the irony: the stated aim was "no risk to our bio-oil CDR tons," but the mechanism makes the bio-oil count depend on the char accounting holding.</w:t>
      </w:r>
    </w:p>
    <w:p>
      <w:r>
        <w:rPr>
          <w:b/>
          <w:color w:val="1F3864"/>
          <w:sz w:val="28"/>
        </w:rPr>
        <w:t>3. The EPD move specifically is foreclosed</w:t>
      </w:r>
    </w:p>
    <w:p>
      <w:r>
        <w:t>Procedure 3’s EC4 bars putting the avoided burden into a co-product EPD and also claiming it:</w:t>
      </w:r>
    </w:p>
    <w:p>
      <w:pPr>
        <w:ind w:left="504"/>
      </w:pPr>
      <w:r>
        <w:rPr>
          <w:i/>
          <w:color w:val="555555"/>
          <w:sz w:val="21"/>
        </w:rPr>
        <w:t>EC4 — No double counting of environmental attributes: "…the environmental attributes which are included as part of the CDR Credit, including CO₂eStored and the avoided burden (the substituted emissions) must not be double counted. This includes as part of the carbon accounting for the co-product, for example in the development of an Environmental Product Declaration (EPD)."</w:t>
      </w:r>
    </w:p>
    <w:p>
      <w:r>
        <w:t>And §6.2 adds: "The product must not be marketed as carbon negative if it is used as a storage mechanism for the generation of Credits." The EPD route is not merely messy — it is named and prohibited.</w:t>
      </w:r>
    </w:p>
    <w:p>
      <w:r>
        <w:rPr>
          <w:b/>
          <w:color w:val="1F3864"/>
          <w:sz w:val="28"/>
        </w:rPr>
        <w:t>4. Recommendation</w:t>
      </w:r>
    </w:p>
    <w:p>
      <w:pPr>
        <w:pStyle w:val="ListBullet"/>
      </w:pPr>
      <w:r>
        <w:t>Take the "load emissions onto the char / char EPD" angle off the board. It is un-permitted (Section 1), self-defeating on eligibility (2.2), commercially dangerous to the bio-oil (2.3), and specifically prohibited as an EPD (Section 3).</w:t>
      </w:r>
    </w:p>
    <w:p>
      <w:pPr>
        <w:pStyle w:val="ListBullet"/>
      </w:pPr>
      <w:r>
        <w:t>Pursue the EAC / carve-out as the primary monetization path for diverted char. Excluding the sold char from the removal boundary and loading the shared pool onto the retained CDR products (bio-oil + soil char) is Procedure 1 — the protocol’s own "most conservative approach." It keeps the ledgers independent, so a char problem never travels back to the oil, and delivers the redundancy we want: bio-oil CDR (primary) + soil-char CDR (secondary) + EAC on diverted char (tertiary).</w:t>
      </w:r>
    </w:p>
    <w:p>
      <w:pPr>
        <w:pStyle w:val="ListBullet"/>
      </w:pPr>
      <w:r>
        <w:t>Keep the substitution method (Procedure 3) parameters on file for if/when a data-sharing partner emerges. Its real terms match our negotiated position: substituted-fuel EF is combustion-only; SR is the energy/efficiency ratio; substituted emissions come off residual emissions only; and the uncertainty factor defaults to 50%, reducible only "with supporting evidence, such as verified product displacement data or binding statements from co-product buyers" — the binding-buyer/true-up hook behind our 0% argument. The protocol also anticipates fate-unknown-at-crediting via case-by-case Isometric discretion.</w:t>
      </w:r>
    </w:p>
    <w:p>
      <w:r>
        <w:rPr>
          <w:b/>
          <w:color w:val="1F3864"/>
          <w:sz w:val="28"/>
        </w:rPr>
        <w:t>Appendix — Source citations (verbatim)</w:t>
      </w:r>
    </w:p>
    <w:p>
      <w:r>
        <w:t>All quotations from Isometric GHG Accounting Module v1.1, §6.1 and Appendix D "Co-product Emissions Allocation Examples," and §6.2, read 15 July 2026. Net-negativity applicability gate: Biochar Production and Storage Protocol v1.2, §4.0.</w:t>
      </w:r>
    </w:p>
    <w:p>
      <w:pPr>
        <w:pStyle w:val="ListBullet"/>
      </w:pPr>
      <w:r>
        <w:t>§6.1 Procedure 1 (allocate all to CDR) — "most conservative approach."</w:t>
      </w:r>
    </w:p>
    <w:p>
      <w:pPr>
        <w:pStyle w:val="ListBullet"/>
      </w:pPr>
      <w:r>
        <w:t>§6.1 Procedure 3 EC3 — demonstrated net negativity precondition.</w:t>
      </w:r>
    </w:p>
    <w:p>
      <w:pPr>
        <w:pStyle w:val="ListBullet"/>
      </w:pPr>
      <w:r>
        <w:t>§6.1 Procedure 3 EC4 — no double counting of environmental attributes, incl. via EPD.</w:t>
      </w:r>
    </w:p>
    <w:p>
      <w:pPr>
        <w:pStyle w:val="ListBullet"/>
      </w:pPr>
      <w:r>
        <w:t>§6.1 Procedure 3 implementation — EF_Substituted combustion-only for stationary fuels; SR; residual-emissions-only; U default 50%; fate/case-by-case discretion.</w:t>
      </w:r>
    </w:p>
    <w:p>
      <w:pPr>
        <w:pStyle w:val="ListBullet"/>
      </w:pPr>
      <w:r>
        <w:t>§6.1 Procedure 4 corrective mechanism — reallocate full burden to primary product; carry deficit forward.</w:t>
      </w:r>
    </w:p>
    <w:p>
      <w:pPr>
        <w:pStyle w:val="ListBullet"/>
      </w:pPr>
      <w:r>
        <w:t>§6.2 — CO₂eStored not double counted regardless of EPD; product not marketed as carbon-negative when used for Credits.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