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28"/>
        </w:rPr>
        <w:t>Hickory Play "SUR" Framework — MRV Briefing</w:t>
      </w:r>
    </w:p>
    <w:p>
      <w:pPr>
        <w:spacing w:after="60"/>
      </w:pPr>
      <w:r>
        <w:rPr>
          <w:i/>
          <w:color w:val="555555"/>
          <w:sz w:val="17"/>
        </w:rPr>
        <w:t>Biomass Working Group  ·  representing MRV interests  ·  24 June 2026</w:t>
      </w:r>
    </w:p>
    <w:p>
      <w:pPr>
        <w:spacing w:before="40" w:after="20"/>
      </w:pPr>
      <w:r>
        <w:rPr>
          <w:b/>
          <w:color w:val="1F3864"/>
          <w:sz w:val="21"/>
        </w:rPr>
        <w:t>What’s on the table</w:t>
      </w:r>
    </w:p>
    <w:p>
      <w:pPr>
        <w:spacing w:after="50"/>
      </w:pPr>
      <w:r>
        <w:t>Charm hauls crop leftovers off ~70,000 High Plains fields and turns them into stored carbon — bio-oil injected underground (~70% of credited tonnes) plus biochar in soil (~30%). Leftovers protect the soil, so the framework sets a per-field safe-harvest fraction (the “SUR”): ~76% of fields eligible, average ~37–40%, ceiling ~2.85 Mt CO₂e/yr, realistic mature ~0.58 Mt.</w:t>
      </w:r>
    </w:p>
    <w:p>
      <w:pPr>
        <w:spacing w:before="120" w:after="20"/>
      </w:pPr>
      <w:r>
        <w:rPr>
          <w:b/>
          <w:color w:val="1F3864"/>
          <w:sz w:val="21"/>
        </w:rPr>
        <w:t>The fact that frames all of it</w:t>
      </w:r>
    </w:p>
    <w:p>
      <w:pPr>
        <w:spacing w:after="50"/>
      </w:pPr>
      <w:r>
        <w:t>This is a desk calculation, not a soil-testing program — each field’s number comes from public computer maps, not from measuring that field. The MRV job is to make a modeled number audit-proof and keep its risks in the right layer. Most of the issues below are really about WHICH layer a given risk lives in.</w:t>
      </w:r>
    </w:p>
    <w:p>
      <w:pPr>
        <w:spacing w:before="120" w:after="20"/>
      </w:pPr>
      <w:r>
        <w:rPr>
          <w:b/>
          <w:color w:val="1F3864"/>
          <w:sz w:val="21"/>
        </w:rPr>
        <w:t>The MRV framework this would require, end to 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944"/>
            <w:shd w:val="clear" w:fill="1F3864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shd w:val="clear" w:fill="1F3864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What Hickory requires</w:t>
            </w:r>
          </w:p>
        </w:tc>
        <w:tc>
          <w:tcPr>
            <w:tcW w:type="dxa" w:w="3528"/>
            <w:shd w:val="clear" w:fill="1F3864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Main exposure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1. Quantify removals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Per-field SUR from public maps → residue → pyrolysis split (oil + biochar) × permanence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Modeled, not measured; no stated error bar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2. Counterfactual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Show residue would decay &lt;15 yr (storage = 0) + negligible soil-carbon building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Over-crediting if the claim proves wrong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3. Sourcing eligibility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BFA SC3: ≥5-yr farmland, no consecutive-year same acreage, no prior bioenergy — re-proven each period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Lives in supplier contracts, not the model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4. Market leakage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Stay under the Sustainable Usage Rate as tonnes/region; no-overpay pricing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Need a tonnage ceiling + pricing terms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5. Monitoring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Satellite yearly; lab every 3–5 yr; durability watch on wells + biochar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No control field → a decline can’t be attributed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6. Verification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VVB each period; 5% materiality; auditor reproduces the field file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Dataset versions must be pinned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7. Reversal / buffer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Mandatory 2–20% credit buffer; covers stored carbon only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Avoidable reversal drains other Charm projects</w:t>
            </w:r>
          </w:p>
        </w:tc>
      </w:tr>
      <w:tr>
        <w:tc>
          <w:tcPr>
            <w:tcW w:type="dxa" w:w="1944"/>
          </w:tcPr>
          <w:p>
            <w:pPr>
              <w:spacing w:after="0" w:before="0"/>
            </w:pPr>
            <w:r>
              <w:rPr>
                <w:b/>
                <w:sz w:val="17"/>
              </w:rPr>
              <w:t>8. Contracting</w:t>
            </w:r>
          </w:p>
        </w:tc>
        <w:tc>
          <w:tcPr>
            <w:tcW w:type="dxa" w:w="5040"/>
          </w:tcPr>
          <w:p>
            <w:pPr>
              <w:spacing w:after="0" w:before="0"/>
            </w:pPr>
            <w:r>
              <w:rPr>
                <w:sz w:val="17"/>
              </w:rPr>
              <w:t>Supplier: carbon rights + sourcing + pricing + custody. Offtake: replacement + shortfall</w:t>
            </w:r>
          </w:p>
        </w:tc>
        <w:tc>
          <w:tcPr>
            <w:tcW w:type="dxa" w:w="3528"/>
          </w:tcPr>
          <w:p>
            <w:pPr>
              <w:spacing w:after="0" w:before="0"/>
            </w:pPr>
            <w:r>
              <w:rPr>
                <w:sz w:val="17"/>
              </w:rPr>
              <w:t>Where make-good on already-sold credits lands</w:t>
            </w:r>
          </w:p>
        </w:tc>
      </w:tr>
    </w:tbl>
    <w:p>
      <w:pPr>
        <w:spacing w:before="120" w:after="20"/>
      </w:pPr>
      <w:r>
        <w:rPr>
          <w:b/>
          <w:color w:val="1F3864"/>
          <w:sz w:val="21"/>
        </w:rPr>
        <w:t>Counterfactual &amp; the residual soil-carbon argument (Layer 2)</w:t>
      </w:r>
    </w:p>
    <w:p>
      <w:pPr>
        <w:spacing w:after="50"/>
      </w:pPr>
      <w:r>
        <w:t>Likely challenge: “if you’d left the residue, wouldn’t it build soil carbon you should deduct?” The COCC screen is the answer — fragile fields are screened out; we harvest only above-breakpoint fields where the clay is carbon-saturated. State it as a carbon-stock claim, not a porosity one: saturated clay can’t lock extra carbon into the durable pool, so left residue stays as non-durable litter that cycles out within 15 yrs — which by Isometric’s own rule isn’t deductible. With Koop on the team, cite it rather than imply it.</w:t>
      </w:r>
    </w:p>
    <w:p>
      <w:pPr>
        <w:spacing w:before="120" w:after="20"/>
      </w:pPr>
      <w:r>
        <w:rPr>
          <w:b/>
          <w:color w:val="1F3864"/>
          <w:sz w:val="21"/>
        </w:rPr>
        <w:t>Monitoring &amp; the attribution gap (Layer 5)</w:t>
      </w:r>
    </w:p>
    <w:p>
      <w:pPr>
        <w:spacing w:after="50"/>
      </w:pPr>
      <w:r>
        <w:t>The framework has NO control/reference field — monitoring compares a field to its own enrollment baseline. It can show soil carbon fell; it cannot show whether harvest or drought caused it. So “prove it was the weather” is not a move we can make. The defense can’t be after-the-fact attribution — it has to be a SUR set conservatively enough that there’s no attributable loss to find.</w:t>
      </w:r>
    </w:p>
    <w:p>
      <w:pPr>
        <w:spacing w:before="120" w:after="20"/>
      </w:pPr>
      <w:r>
        <w:rPr>
          <w:b/>
          <w:color w:val="1F3864"/>
          <w:sz w:val="21"/>
        </w:rPr>
        <w:t>Reversal, over-crediting &amp; buffer (Layers 2 + 7) — two separate risks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Buffer pool — </w:t>
      </w:r>
      <w:r>
        <w:t>mandatory on every issuance, 2% (Very Low) → 10–20% (High) by risk class (§5.6.2), and it covers STORED carbon (oil, biochar). Native soil carbon isn’t a credited store, so a soil decline is NOT a buffer reversal. An Avoidable reversal of the stores (incl. ceasing monitoring) forces reimbursement and diverts credits from every Charm project until repaid; an Unavoidable one is absorbed.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Over-crediting (the real soil risk) — </w:t>
      </w:r>
      <w:r>
        <w:t>if we credit “counterfactual = 0” and later see attributable soil loss, past removals were overstated. The Standard calls that “erroneous over-issuance” → Cancellation (§6); the buffer does NOT insure it. Two paths, and characterization decides: “conditions evolved” → re-baseline forward, no clawback (§2.4.2); “original claim was an error” → cancel held credits + replace any already retired. Pin the forward reading in the PDD — the Standard is silent here, which is our opening.</w:t>
      </w:r>
    </w:p>
    <w:p>
      <w:pPr>
        <w:spacing w:before="120" w:after="20"/>
      </w:pPr>
      <w:r>
        <w:rPr>
          <w:b/>
          <w:color w:val="1F3864"/>
          <w:sz w:val="21"/>
        </w:rPr>
        <w:t>Contracting (Layer 8) — where the paper risk actually settles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Supplier side — </w:t>
      </w:r>
      <w:r>
        <w:t>Standard §3.1 requires contracts that “relinquish ownership of all Removals to the Project Proponent” and bar suppliers from claiming credits or advertising a “low emission product” off our removals (the clause AECN fought). These must also carry the SC3 sourcing facts, the ML7 no-overpay pricing limits (≤5% of supplier revenue or ≤2× disposal cost), chain-of-custody from field to pyrolyzer, and access rights for soil monitoring.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Offtake side — </w:t>
      </w:r>
      <w:r>
        <w:t>our offtakes already impose “Supplier Reversal Obligations” and delivery of “Replacement CRUs” over the durability period (Microsoft SOWs). Two gaps to close: a shortfall/substitution clause for when a forced SUR cut reduces delivered tonnes, and explicit treatment of where over-crediting make-good lands — because the registry can’t un-retire a sold credit, that make-good falls here, on Charm, by contract.</w:t>
      </w:r>
    </w:p>
    <w:p>
      <w:pPr>
        <w:spacing w:before="120" w:after="20"/>
      </w:pPr>
      <w:r>
        <w:rPr>
          <w:b/>
          <w:color w:val="1F3864"/>
          <w:sz w:val="21"/>
        </w:rPr>
        <w:t>What to push for in the room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1.  </w:t>
      </w:r>
      <w:r>
        <w:t>Set the SUR conservatively — it’s the firewall; we have no control field to prove a later decline was exogenous.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2.  </w:t>
      </w:r>
      <w:r>
        <w:t>Pin the correction treatment with Isometric: forward counterfactual re-baseline, not retroactive over-issuance.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3.  </w:t>
      </w:r>
      <w:r>
        <w:t>State the uncertainty envelope (it satisfies verification and sizes the buffer) and pin every dataset version.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4.  </w:t>
      </w:r>
      <w:r>
        <w:t>Supplier contracts: carbon-rights transfer, SC3 sourcing facts, ML7 pricing limits, chain-of-custody, monitoring access.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5.  </w:t>
      </w:r>
      <w:r>
        <w:t>Offtake contracts: add shortfall/substitution clauses and nail down where already-sold-credit make-good sits.</w:t>
      </w:r>
    </w:p>
    <w:p>
      <w:pPr>
        <w:pStyle w:val="ListBullet"/>
        <w:spacing w:after="30"/>
        <w:ind w:left="288" w:hanging="173"/>
      </w:pPr>
      <w:r>
        <w:rPr>
          <w:b/>
        </w:rPr>
        <w:t xml:space="preserve">6.  </w:t>
      </w:r>
      <w:r>
        <w:t>Convert per-field % into a “tonnes-per-region we won’t exceed” ceiling; write the durable-carbon argument; fix the “SUR” naming clash.</w:t>
      </w:r>
    </w:p>
    <w:sectPr w:rsidR="00FC693F" w:rsidRPr="0006063C" w:rsidSect="00034616">
      <w:pgSz w:w="12240" w:h="15840"/>
      <w:pgMar w:top="720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