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6E63"/>
          <w:sz w:val="38"/>
        </w:rPr>
        <w:t>ISCC PLUS Certification of Charm-Bio-oil SAF</w:t>
      </w:r>
    </w:p>
    <w:p>
      <w:r>
        <w:rPr>
          <w:color w:val="666666"/>
          <w:sz w:val="22"/>
        </w:rPr>
        <w:t>Verified methodology reference — every requirement traced to a document confirmed in the ISCC PLUS governing set and read at the specified version</w:t>
      </w:r>
    </w:p>
    <w:p>
      <w:r>
        <w:rPr>
          <w:i/>
          <w:color w:val="666666"/>
          <w:sz w:val="18"/>
        </w:rPr>
        <w:t>Internal reference · Max Lavine · rebuilt 22 July 2026 · all citations read from the live documents this session</w:t>
      </w:r>
    </w:p>
    <w:p>
      <w:pPr>
        <w:spacing w:before="120" w:after="60"/>
      </w:pPr>
      <w:r>
        <w:rPr>
          <w:b/>
          <w:color w:val="0F6E63"/>
          <w:sz w:val="28"/>
        </w:rPr>
        <w:t>0.  Execution sequence — the practical steps, in order</w:t>
      </w:r>
    </w:p>
    <w:p>
      <w:pPr>
        <w:spacing w:after="120"/>
      </w:pPr>
      <w:r>
        <w:rPr>
          <w:i/>
          <w:color w:val="666666"/>
          <w:sz w:val="18"/>
        </w:rPr>
        <w:t>R = required by an in-force ISCC document · S = strategic/commercial choice. Forks A–D are the only real decisions; steps 6→10 are a hard dependency chain (register → audit → certificate → produce → declare).</w:t>
      </w:r>
    </w:p>
    <w:p>
      <w:pPr>
        <w:spacing w:after="100"/>
        <w:ind w:left="259"/>
      </w:pPr>
      <w:r>
        <w:rPr>
          <w:b/>
          <w:sz w:val="20"/>
        </w:rPr>
        <w:t xml:space="preserve">1.  </w:t>
      </w:r>
      <w:r>
        <w:rPr>
          <w:sz w:val="20"/>
        </w:rPr>
        <w:t>[S] Line up the refinery partner and fix the commercial structure (lead with the notional SD). Why: the refinery’s status and the ownership model decide which scopes Charm registers for.  Fork A — refinery already ISCC PLUS certified (prefer) vs not (it must certify itself as a Processing Unit, 203-1 §3.4.10 — its cost, the main schedule risk).  Fork B — sale (Charm = First Gathering Point + Processing Unit) vs tolling (Charm also holds Trader-with-Storage or Processing Unit + a tolling agreement, 203-1 §3.6.1).</w:t>
      </w:r>
    </w:p>
    <w:p>
      <w:pPr>
        <w:spacing w:after="100"/>
        <w:ind w:left="259"/>
      </w:pPr>
      <w:r>
        <w:rPr>
          <w:b/>
          <w:sz w:val="20"/>
        </w:rPr>
        <w:t xml:space="preserve">2.  </w:t>
      </w:r>
      <w:r>
        <w:rPr>
          <w:sz w:val="20"/>
        </w:rPr>
        <w:t>[R] Determine the feedstock classification. Why: sets the sustainability module, whether harvesting emissions count, and the product prefix.  Fork C — forest biomass (default: whole logs = trunks, 202-3 §2 → e_ec counted, prefix “Bio Pyrolysis oil”) vs a waste argument under 202-5 (uphill, auditor’s call; would zero e_ec).</w:t>
      </w:r>
    </w:p>
    <w:p>
      <w:pPr>
        <w:spacing w:after="100"/>
        <w:ind w:left="259"/>
      </w:pPr>
      <w:r>
        <w:rPr>
          <w:b/>
          <w:sz w:val="20"/>
        </w:rPr>
        <w:t xml:space="preserve">3.  </w:t>
      </w:r>
      <w:r>
        <w:rPr>
          <w:sz w:val="20"/>
        </w:rPr>
        <w:t>[R] Organize the foresters as a Forest Sourcing Area group under Charm as First Gathering Point. Why: covers them under Charm’s certificate instead of certifying each. Required: each forester’s signed annual self-declaration + harvest-time risk assessment (203-1 §3.3.5, §3.4.4); Charm internally audits every forester yearly, each new one before first delivery (203-1 §3.5.4).</w:t>
      </w:r>
    </w:p>
    <w:p>
      <w:pPr>
        <w:spacing w:after="100"/>
        <w:ind w:left="259"/>
      </w:pPr>
      <w:r>
        <w:rPr>
          <w:b/>
          <w:sz w:val="20"/>
        </w:rPr>
        <w:t xml:space="preserve">4.  </w:t>
      </w:r>
      <w:r>
        <w:rPr>
          <w:sz w:val="20"/>
        </w:rPr>
        <w:t>[R] Stand up Charm’s management system + traceability and mass-balance bookkeeping. Why: a management system is a core certification requirement (201 §2.3; 203-1 §3.2).</w:t>
      </w:r>
    </w:p>
    <w:p>
      <w:pPr>
        <w:spacing w:after="100"/>
        <w:ind w:left="259"/>
      </w:pPr>
      <w:r>
        <w:rPr>
          <w:b/>
          <w:sz w:val="20"/>
        </w:rPr>
        <w:t xml:space="preserve">5.  </w:t>
      </w:r>
      <w:r>
        <w:rPr>
          <w:sz w:val="20"/>
        </w:rPr>
        <w:t>[R — only if a CI is claimed] Build the CI under ISCC EU 205 v4.1. Why: GHG is a voluntary add-on (201 §2.4; 203-2 Annex I — GHG appears on the SD only if the voluntary “GHG emissions” add-on is applied), so this is required only for the CI claim (the commercial point). Feed existing LCA data through energy-content allocation (§4.3.8, not carbon-mass); design data at start → actual by one year (§4.1); e_ec is counted (forest biomass).</w:t>
      </w:r>
    </w:p>
    <w:p>
      <w:pPr>
        <w:spacing w:after="100"/>
        <w:ind w:left="259"/>
      </w:pPr>
      <w:r>
        <w:rPr>
          <w:b/>
          <w:sz w:val="20"/>
        </w:rPr>
        <w:t xml:space="preserve">6.  </w:t>
      </w:r>
      <w:r>
        <w:rPr>
          <w:sz w:val="20"/>
        </w:rPr>
        <w:t>[R] Sign a contract with an ISCC-recognized certification body (201 §3.1.1; free choice, p.30).</w:t>
      </w:r>
    </w:p>
    <w:p>
      <w:pPr>
        <w:spacing w:after="100"/>
        <w:ind w:left="259"/>
      </w:pPr>
      <w:r>
        <w:rPr>
          <w:b/>
          <w:sz w:val="20"/>
        </w:rPr>
        <w:t xml:space="preserve">7.  </w:t>
      </w:r>
      <w:r>
        <w:rPr>
          <w:sz w:val="20"/>
        </w:rPr>
        <w:t>[R — hard dependency, must precede the audit] Register with ISCC on the HUB, declaring the Fork-B scopes, per operational site (201 §3.1.1).</w:t>
      </w:r>
    </w:p>
    <w:p>
      <w:pPr>
        <w:spacing w:after="100"/>
        <w:ind w:left="259"/>
      </w:pPr>
      <w:r>
        <w:rPr>
          <w:b/>
          <w:sz w:val="20"/>
        </w:rPr>
        <w:t xml:space="preserve">8.  </w:t>
      </w:r>
      <w:r>
        <w:rPr>
          <w:sz w:val="20"/>
        </w:rPr>
        <w:t>[R — hard dependency, after registration] Pass the initial on-site audit: Charm’s system + a √n sample of foresters (203-1 §3.5.5); forward-looking, not retrospective (201 §3.2.1).</w:t>
      </w:r>
    </w:p>
    <w:p>
      <w:pPr>
        <w:spacing w:after="100"/>
        <w:ind w:left="259"/>
      </w:pPr>
      <w:r>
        <w:rPr>
          <w:b/>
          <w:sz w:val="20"/>
        </w:rPr>
        <w:t xml:space="preserve">9.  </w:t>
      </w:r>
      <w:r>
        <w:rPr>
          <w:sz w:val="20"/>
        </w:rPr>
        <w:t>[R] Receive the 12-month certificate with bio-oil on the material scope (201 §3.2.1). This is the step that makes Charm’s bio-oil certified material.</w:t>
      </w:r>
    </w:p>
    <w:p>
      <w:pPr>
        <w:spacing w:after="100"/>
        <w:ind w:left="259"/>
      </w:pPr>
      <w:r>
        <w:rPr>
          <w:b/>
          <w:sz w:val="20"/>
        </w:rPr>
        <w:t xml:space="preserve">10.  </w:t>
      </w:r>
      <w:r>
        <w:rPr>
          <w:sz w:val="20"/>
        </w:rPr>
        <w:t>[R — hard dependency, only after the certificate] Produce certified bio-oil and run the mass-balance bookkeeping (≤3-month period, 203-2 §6.5).</w:t>
      </w:r>
    </w:p>
    <w:p>
      <w:pPr>
        <w:spacing w:after="100"/>
        <w:ind w:left="259"/>
      </w:pPr>
      <w:r>
        <w:rPr>
          <w:b/>
          <w:sz w:val="20"/>
        </w:rPr>
        <w:t xml:space="preserve">11.  </w:t>
      </w:r>
      <w:r>
        <w:rPr>
          <w:sz w:val="20"/>
        </w:rPr>
        <w:t>[R — decision] Choose the mass-balancing option and reflection mode. Free Attribution is a credit calculation (CF × certified input, attributed freely to the SAF cut within guardrails — 203-2 §6.4.2); it is bookkeeping, not a physical measurement.  Fork D — complete reflection vs compensation: both are permitted under 203-2 §6.4.2 (p.27); compensation additionally requires the outgoing SD to state that input characteristics were compensated, and the compensated output must be “similar-in-nature” to the certified input.</w:t>
      </w:r>
    </w:p>
    <w:p>
      <w:pPr>
        <w:spacing w:after="100"/>
        <w:ind w:left="259"/>
      </w:pPr>
      <w:r>
        <w:rPr>
          <w:b/>
          <w:sz w:val="20"/>
        </w:rPr>
        <w:t xml:space="preserve">12.  </w:t>
      </w:r>
      <w:r>
        <w:rPr>
          <w:sz w:val="20"/>
        </w:rPr>
        <w:t>[R] Ship bio-oil and issue the Sustainability Declaration (203-1 §3.3.2): per batch or ≤30-day aggregate, within 30 days of dispatch; certified quantity = the credit allocation from the bookkeeping account; product “Bio Pyrolysis oil”; CoC method.</w:t>
      </w:r>
    </w:p>
    <w:p>
      <w:pPr>
        <w:spacing w:after="100"/>
        <w:ind w:left="259"/>
      </w:pPr>
      <w:r>
        <w:rPr>
          <w:b/>
          <w:sz w:val="20"/>
        </w:rPr>
        <w:t xml:space="preserve">13.  </w:t>
      </w:r>
      <w:r>
        <w:rPr>
          <w:sz w:val="20"/>
        </w:rPr>
        <w:t>[R — refinery side] Refinery co-processes the FPBO into SAF and issues the certified-SAF declaration through its OWN chain-of-custody attribution (free attribution within its guardrails). ¹⁴C is NOT part of the attribution claim under PLUS — it is an independent/complementary physical verification (203-2 §7), used at system level or to reinforce a bio-content claim, and is what an EU/CORSIA claim would instead require. The refinery’s certificate material scope must cover bio-oil (input) and SAF (output).</w:t>
      </w:r>
    </w:p>
    <w:p>
      <w:pPr>
        <w:spacing w:after="100"/>
        <w:ind w:left="259"/>
      </w:pPr>
      <w:r>
        <w:rPr>
          <w:b/>
          <w:sz w:val="20"/>
        </w:rPr>
        <w:t xml:space="preserve">14.  </w:t>
      </w:r>
      <w:r>
        <w:rPr>
          <w:sz w:val="20"/>
        </w:rPr>
        <w:t>[R — ongoing] Sustain it: annual recertification with no gap (201 §3.2.1); CI refreshed annually if claimed; mass-balance reconciled at least every three months; internal audits of all foresters; CB re-samples on rotation.</w:t>
      </w:r>
    </w:p>
    <w:p>
      <w:pPr>
        <w:spacing w:before="280" w:after="60"/>
      </w:pPr>
      <w:r>
        <w:rPr>
          <w:b/>
          <w:color w:val="0F6E63"/>
          <w:sz w:val="28"/>
        </w:rPr>
        <w:t>1.  Authority — what governs ISCC PLUS, and why "ISCC EU"-named documents are in scope</w:t>
      </w:r>
    </w:p>
    <w:p>
      <w:pPr>
        <w:spacing w:after="100"/>
      </w:pPr>
      <w:r>
        <w:rPr>
          <w:i w:val="0"/>
          <w:sz w:val="20"/>
        </w:rPr>
        <w:t>The document that defines the PLUS document set is the ISCC PLUS System Structure &amp; Overview of ISCC PLUS Documents, v1.2 (valid 13 Nov 2025). Two clauses establish authority:</w:t>
      </w:r>
    </w:p>
    <w:p>
      <w:pPr>
        <w:spacing w:after="20"/>
        <w:ind w:left="432"/>
      </w:pPr>
      <w:r>
        <w:rPr>
          <w:i/>
          <w:color w:val="333333"/>
          <w:sz w:val="18"/>
        </w:rPr>
        <w:t>“The requirements of the ISCC PLUS system are described in the ISCC PLUS System Documents. These documents must be applied by all participants in the certification system…”</w:t>
      </w:r>
    </w:p>
    <w:p>
      <w:pPr>
        <w:spacing w:after="140"/>
        <w:ind w:left="432"/>
      </w:pPr>
      <w:r>
        <w:rPr>
          <w:color w:val="666666"/>
          <w:sz w:val="16"/>
        </w:rPr>
        <w:t>— PLUS Overview v1.2, §1, p.4</w:t>
      </w:r>
    </w:p>
    <w:p>
      <w:pPr>
        <w:spacing w:after="20"/>
        <w:ind w:left="432"/>
      </w:pPr>
      <w:r>
        <w:rPr>
          <w:i/>
          <w:color w:val="333333"/>
          <w:sz w:val="18"/>
        </w:rPr>
        <w:t>“The ISCC PLUS and ISCC EU certification systems are widely harmonised. Within this framework, ISCC PLUS incorporates certain core certification requirements that are also part of the ISCC EU system. As a result, specific ISCC EU System Documents are applicable to the ISCC PLUS system.”</w:t>
      </w:r>
    </w:p>
    <w:p>
      <w:pPr>
        <w:spacing w:after="140"/>
        <w:ind w:left="432"/>
      </w:pPr>
      <w:r>
        <w:rPr>
          <w:color w:val="666666"/>
          <w:sz w:val="16"/>
        </w:rPr>
        <w:t>— PLUS Overview v1.2, §1, p.4</w:t>
      </w:r>
    </w:p>
    <w:p>
      <w:pPr>
        <w:spacing w:after="100"/>
      </w:pPr>
      <w:r>
        <w:rPr>
          <w:i w:val="0"/>
          <w:sz w:val="20"/>
        </w:rPr>
        <w:t>This is why documents named "ISCC EU" (202-1..6, 205, 205-1) legitimately govern a PLUS pathway — the overview formally incorporates them. The governing set (Overview Table 1, pp.5–6):</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D6E4F0"/>
          </w:tcPr>
          <w:p>
            <w:r>
              <w:rPr>
                <w:b/>
                <w:sz w:val="17"/>
              </w:rPr>
              <w:t>Governing PLUS document</w:t>
            </w:r>
          </w:p>
        </w:tc>
        <w:tc>
          <w:tcPr>
            <w:tcW w:type="dxa" w:w="4320"/>
            <w:shd w:val="clear" w:color="auto" w:fill="D6E4F0"/>
          </w:tcPr>
          <w:p>
            <w:r>
              <w:rPr>
                <w:b/>
                <w:sz w:val="17"/>
              </w:rPr>
              <w:t>Version</w:t>
            </w:r>
          </w:p>
        </w:tc>
      </w:tr>
      <w:tr>
        <w:tc>
          <w:tcPr>
            <w:tcW w:type="dxa" w:w="4320"/>
          </w:tcPr>
          <w:p>
            <w:r>
              <w:rPr>
                <w:sz w:val="17"/>
              </w:rPr>
              <w:t>ISCC PLUS 102 Governance</w:t>
            </w:r>
          </w:p>
        </w:tc>
        <w:tc>
          <w:tcPr>
            <w:tcW w:type="dxa" w:w="4320"/>
          </w:tcPr>
          <w:p>
            <w:r>
              <w:rPr>
                <w:sz w:val="17"/>
              </w:rPr>
              <w:t>1.1</w:t>
            </w:r>
          </w:p>
        </w:tc>
      </w:tr>
      <w:tr>
        <w:tc>
          <w:tcPr>
            <w:tcW w:type="dxa" w:w="4320"/>
          </w:tcPr>
          <w:p>
            <w:r>
              <w:rPr>
                <w:sz w:val="17"/>
              </w:rPr>
              <w:t>ISCC PLUS 103 CB &amp; Auditor Requirements</w:t>
            </w:r>
          </w:p>
        </w:tc>
        <w:tc>
          <w:tcPr>
            <w:tcW w:type="dxa" w:w="4320"/>
          </w:tcPr>
          <w:p>
            <w:r>
              <w:rPr>
                <w:sz w:val="17"/>
              </w:rPr>
              <w:t>1.1</w:t>
            </w:r>
          </w:p>
        </w:tc>
      </w:tr>
      <w:tr>
        <w:tc>
          <w:tcPr>
            <w:tcW w:type="dxa" w:w="4320"/>
          </w:tcPr>
          <w:p>
            <w:r>
              <w:rPr>
                <w:sz w:val="17"/>
              </w:rPr>
              <w:t>ISCC PLUS 201 System Basics</w:t>
            </w:r>
          </w:p>
        </w:tc>
        <w:tc>
          <w:tcPr>
            <w:tcW w:type="dxa" w:w="4320"/>
          </w:tcPr>
          <w:p>
            <w:r>
              <w:rPr>
                <w:sz w:val="17"/>
              </w:rPr>
              <w:t>1.1</w:t>
            </w:r>
          </w:p>
        </w:tc>
      </w:tr>
      <w:tr>
        <w:tc>
          <w:tcPr>
            <w:tcW w:type="dxa" w:w="4320"/>
          </w:tcPr>
          <w:p>
            <w:r>
              <w:rPr>
                <w:sz w:val="17"/>
              </w:rPr>
              <w:t>ISCC EU 202-1 / 202-2 Agricultural Biomass</w:t>
            </w:r>
          </w:p>
        </w:tc>
        <w:tc>
          <w:tcPr>
            <w:tcW w:type="dxa" w:w="4320"/>
          </w:tcPr>
          <w:p>
            <w:r>
              <w:rPr>
                <w:sz w:val="17"/>
              </w:rPr>
              <w:t>4.1</w:t>
            </w:r>
          </w:p>
        </w:tc>
      </w:tr>
      <w:tr>
        <w:tc>
          <w:tcPr>
            <w:tcW w:type="dxa" w:w="4320"/>
          </w:tcPr>
          <w:p>
            <w:r>
              <w:rPr>
                <w:sz w:val="17"/>
              </w:rPr>
              <w:t>ISCC EU 202-3 / 202-4 Forest Biomass</w:t>
            </w:r>
          </w:p>
        </w:tc>
        <w:tc>
          <w:tcPr>
            <w:tcW w:type="dxa" w:w="4320"/>
          </w:tcPr>
          <w:p>
            <w:r>
              <w:rPr>
                <w:sz w:val="17"/>
              </w:rPr>
              <w:t>1.0</w:t>
            </w:r>
          </w:p>
        </w:tc>
      </w:tr>
      <w:tr>
        <w:tc>
          <w:tcPr>
            <w:tcW w:type="dxa" w:w="4320"/>
          </w:tcPr>
          <w:p>
            <w:r>
              <w:rPr>
                <w:sz w:val="17"/>
              </w:rPr>
              <w:t>ISCC PLUS 202-5 Waste &amp; Residues</w:t>
            </w:r>
          </w:p>
        </w:tc>
        <w:tc>
          <w:tcPr>
            <w:tcW w:type="dxa" w:w="4320"/>
          </w:tcPr>
          <w:p>
            <w:r>
              <w:rPr>
                <w:sz w:val="17"/>
              </w:rPr>
              <w:t>1.1</w:t>
            </w:r>
          </w:p>
        </w:tc>
      </w:tr>
      <w:tr>
        <w:tc>
          <w:tcPr>
            <w:tcW w:type="dxa" w:w="4320"/>
          </w:tcPr>
          <w:p>
            <w:r>
              <w:rPr>
                <w:sz w:val="17"/>
              </w:rPr>
              <w:t>ISCC EU 202-6 RFNBO / RCF</w:t>
            </w:r>
          </w:p>
        </w:tc>
        <w:tc>
          <w:tcPr>
            <w:tcW w:type="dxa" w:w="4320"/>
          </w:tcPr>
          <w:p>
            <w:r>
              <w:rPr>
                <w:sz w:val="17"/>
              </w:rPr>
              <w:t>1.4</w:t>
            </w:r>
          </w:p>
        </w:tc>
      </w:tr>
      <w:tr>
        <w:tc>
          <w:tcPr>
            <w:tcW w:type="dxa" w:w="4320"/>
          </w:tcPr>
          <w:p>
            <w:r>
              <w:rPr>
                <w:sz w:val="17"/>
              </w:rPr>
              <w:t>ISCC PLUS 203-1 Traceability</w:t>
            </w:r>
          </w:p>
        </w:tc>
        <w:tc>
          <w:tcPr>
            <w:tcW w:type="dxa" w:w="4320"/>
          </w:tcPr>
          <w:p>
            <w:r>
              <w:rPr>
                <w:sz w:val="17"/>
              </w:rPr>
              <w:t>1.1</w:t>
            </w:r>
          </w:p>
        </w:tc>
      </w:tr>
      <w:tr>
        <w:tc>
          <w:tcPr>
            <w:tcW w:type="dxa" w:w="4320"/>
          </w:tcPr>
          <w:p>
            <w:r>
              <w:rPr>
                <w:sz w:val="17"/>
              </w:rPr>
              <w:t>ISCC PLUS 203-2 Chain of Custody</w:t>
            </w:r>
          </w:p>
        </w:tc>
        <w:tc>
          <w:tcPr>
            <w:tcW w:type="dxa" w:w="4320"/>
          </w:tcPr>
          <w:p>
            <w:r>
              <w:rPr>
                <w:sz w:val="17"/>
              </w:rPr>
              <w:t>1.1</w:t>
            </w:r>
          </w:p>
        </w:tc>
      </w:tr>
      <w:tr>
        <w:tc>
          <w:tcPr>
            <w:tcW w:type="dxa" w:w="4320"/>
          </w:tcPr>
          <w:p>
            <w:r>
              <w:rPr>
                <w:sz w:val="17"/>
              </w:rPr>
              <w:t>ISCC PLUS 204 Risk Management</w:t>
            </w:r>
          </w:p>
        </w:tc>
        <w:tc>
          <w:tcPr>
            <w:tcW w:type="dxa" w:w="4320"/>
          </w:tcPr>
          <w:p>
            <w:r>
              <w:rPr>
                <w:sz w:val="17"/>
              </w:rPr>
              <w:t>1.0</w:t>
            </w:r>
          </w:p>
        </w:tc>
      </w:tr>
      <w:tr>
        <w:tc>
          <w:tcPr>
            <w:tcW w:type="dxa" w:w="4320"/>
          </w:tcPr>
          <w:p>
            <w:r>
              <w:rPr>
                <w:sz w:val="17"/>
              </w:rPr>
              <w:t>ISCC EU 205 Greenhouse Gas Emissions</w:t>
            </w:r>
          </w:p>
        </w:tc>
        <w:tc>
          <w:tcPr>
            <w:tcW w:type="dxa" w:w="4320"/>
          </w:tcPr>
          <w:p>
            <w:r>
              <w:rPr>
                <w:sz w:val="17"/>
              </w:rPr>
              <w:t>4.1</w:t>
            </w:r>
          </w:p>
        </w:tc>
      </w:tr>
      <w:tr>
        <w:tc>
          <w:tcPr>
            <w:tcW w:type="dxa" w:w="4320"/>
          </w:tcPr>
          <w:p>
            <w:r>
              <w:rPr>
                <w:sz w:val="17"/>
              </w:rPr>
              <w:t>ISCC EU 205-1 RFNBO / RCF GHG</w:t>
            </w:r>
          </w:p>
        </w:tc>
        <w:tc>
          <w:tcPr>
            <w:tcW w:type="dxa" w:w="4320"/>
          </w:tcPr>
          <w:p>
            <w:r>
              <w:rPr>
                <w:sz w:val="17"/>
              </w:rPr>
              <w:t>1.4</w:t>
            </w:r>
          </w:p>
        </w:tc>
      </w:tr>
    </w:tbl>
    <w:p>
      <w:pPr>
        <w:spacing w:after="100"/>
      </w:pPr>
      <w:r>
        <w:rPr>
          <w:i/>
          <w:sz w:val="18"/>
        </w:rPr>
        <w:t>Guidance documents applicable to PLUS are in Overview Table 3 (p.8) and include "ISCC Guidance Document – Co-Processing Requirements". Excluded, with reason: RSB and ISCC CORSIA documents (different schemes); the enhanced 203-01 v2.0 co-processing apparatus (DR-2023/1640 — ISCC EU only). Only in-force ISCC PLUS documents are used here.</w:t>
      </w:r>
    </w:p>
    <w:p>
      <w:pPr>
        <w:spacing w:before="280" w:after="60"/>
      </w:pPr>
      <w:r>
        <w:rPr>
          <w:b/>
          <w:color w:val="0F6E63"/>
          <w:sz w:val="28"/>
        </w:rPr>
        <w:t>2.  Verification ledger — documents read this session, at the specified version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D6E4F0"/>
          </w:tcPr>
          <w:p>
            <w:r>
              <w:rPr>
                <w:b/>
                <w:sz w:val="17"/>
              </w:rPr>
              <w:t>Document</w:t>
            </w:r>
          </w:p>
        </w:tc>
        <w:tc>
          <w:tcPr>
            <w:tcW w:type="dxa" w:w="2880"/>
            <w:shd w:val="clear" w:color="auto" w:fill="D6E4F0"/>
          </w:tcPr>
          <w:p>
            <w:r>
              <w:rPr>
                <w:b/>
                <w:sz w:val="17"/>
              </w:rPr>
              <w:t>Version read</w:t>
            </w:r>
          </w:p>
        </w:tc>
        <w:tc>
          <w:tcPr>
            <w:tcW w:type="dxa" w:w="2880"/>
            <w:shd w:val="clear" w:color="auto" w:fill="D6E4F0"/>
          </w:tcPr>
          <w:p>
            <w:r>
              <w:rPr>
                <w:b/>
                <w:sz w:val="17"/>
              </w:rPr>
              <w:t>In PLUS set via</w:t>
            </w:r>
          </w:p>
        </w:tc>
      </w:tr>
      <w:tr>
        <w:tc>
          <w:tcPr>
            <w:tcW w:type="dxa" w:w="2880"/>
          </w:tcPr>
          <w:p>
            <w:r>
              <w:rPr>
                <w:sz w:val="17"/>
              </w:rPr>
              <w:t>203-1 Traceability</w:t>
            </w:r>
          </w:p>
        </w:tc>
        <w:tc>
          <w:tcPr>
            <w:tcW w:type="dxa" w:w="2880"/>
          </w:tcPr>
          <w:p>
            <w:r>
              <w:rPr>
                <w:sz w:val="17"/>
              </w:rPr>
              <w:t>1.1</w:t>
            </w:r>
          </w:p>
        </w:tc>
        <w:tc>
          <w:tcPr>
            <w:tcW w:type="dxa" w:w="2880"/>
          </w:tcPr>
          <w:p>
            <w:r>
              <w:rPr>
                <w:sz w:val="17"/>
              </w:rPr>
              <w:t>Table 1 (PLUS-native)</w:t>
            </w:r>
          </w:p>
        </w:tc>
      </w:tr>
      <w:tr>
        <w:tc>
          <w:tcPr>
            <w:tcW w:type="dxa" w:w="2880"/>
          </w:tcPr>
          <w:p>
            <w:r>
              <w:rPr>
                <w:sz w:val="17"/>
              </w:rPr>
              <w:t>203-2 Chain of Custody</w:t>
            </w:r>
          </w:p>
        </w:tc>
        <w:tc>
          <w:tcPr>
            <w:tcW w:type="dxa" w:w="2880"/>
          </w:tcPr>
          <w:p>
            <w:r>
              <w:rPr>
                <w:sz w:val="17"/>
              </w:rPr>
              <w:t>1.1</w:t>
            </w:r>
          </w:p>
        </w:tc>
        <w:tc>
          <w:tcPr>
            <w:tcW w:type="dxa" w:w="2880"/>
          </w:tcPr>
          <w:p>
            <w:r>
              <w:rPr>
                <w:sz w:val="17"/>
              </w:rPr>
              <w:t>Table 1 (PLUS-native)</w:t>
            </w:r>
          </w:p>
        </w:tc>
      </w:tr>
      <w:tr>
        <w:tc>
          <w:tcPr>
            <w:tcW w:type="dxa" w:w="2880"/>
          </w:tcPr>
          <w:p>
            <w:r>
              <w:rPr>
                <w:sz w:val="17"/>
              </w:rPr>
              <w:t>201 System Basics</w:t>
            </w:r>
          </w:p>
        </w:tc>
        <w:tc>
          <w:tcPr>
            <w:tcW w:type="dxa" w:w="2880"/>
          </w:tcPr>
          <w:p>
            <w:r>
              <w:rPr>
                <w:sz w:val="17"/>
              </w:rPr>
              <w:t>1.1</w:t>
            </w:r>
          </w:p>
        </w:tc>
        <w:tc>
          <w:tcPr>
            <w:tcW w:type="dxa" w:w="2880"/>
          </w:tcPr>
          <w:p>
            <w:r>
              <w:rPr>
                <w:sz w:val="17"/>
              </w:rPr>
              <w:t>Table 1 (PLUS-native)</w:t>
            </w:r>
          </w:p>
        </w:tc>
      </w:tr>
      <w:tr>
        <w:tc>
          <w:tcPr>
            <w:tcW w:type="dxa" w:w="2880"/>
          </w:tcPr>
          <w:p>
            <w:r>
              <w:rPr>
                <w:sz w:val="17"/>
              </w:rPr>
              <w:t>202-5 Waste &amp; Residues</w:t>
            </w:r>
          </w:p>
        </w:tc>
        <w:tc>
          <w:tcPr>
            <w:tcW w:type="dxa" w:w="2880"/>
          </w:tcPr>
          <w:p>
            <w:r>
              <w:rPr>
                <w:sz w:val="17"/>
              </w:rPr>
              <w:t>1.1</w:t>
            </w:r>
          </w:p>
        </w:tc>
        <w:tc>
          <w:tcPr>
            <w:tcW w:type="dxa" w:w="2880"/>
          </w:tcPr>
          <w:p>
            <w:r>
              <w:rPr>
                <w:sz w:val="17"/>
              </w:rPr>
              <w:t>Table 1 (PLUS-native)</w:t>
            </w:r>
          </w:p>
        </w:tc>
      </w:tr>
      <w:tr>
        <w:tc>
          <w:tcPr>
            <w:tcW w:type="dxa" w:w="2880"/>
          </w:tcPr>
          <w:p>
            <w:r>
              <w:rPr>
                <w:sz w:val="17"/>
              </w:rPr>
              <w:t>EU 202-3 Forest Biomass P1</w:t>
            </w:r>
          </w:p>
        </w:tc>
        <w:tc>
          <w:tcPr>
            <w:tcW w:type="dxa" w:w="2880"/>
          </w:tcPr>
          <w:p>
            <w:r>
              <w:rPr>
                <w:sz w:val="17"/>
              </w:rPr>
              <w:t>1.0</w:t>
            </w:r>
          </w:p>
        </w:tc>
        <w:tc>
          <w:tcPr>
            <w:tcW w:type="dxa" w:w="2880"/>
          </w:tcPr>
          <w:p>
            <w:r>
              <w:rPr>
                <w:sz w:val="17"/>
              </w:rPr>
              <w:t>Table 1 (incorporated EU doc)</w:t>
            </w:r>
          </w:p>
        </w:tc>
      </w:tr>
      <w:tr>
        <w:tc>
          <w:tcPr>
            <w:tcW w:type="dxa" w:w="2880"/>
          </w:tcPr>
          <w:p>
            <w:r>
              <w:rPr>
                <w:sz w:val="17"/>
              </w:rPr>
              <w:t>EU 202-4 Forest Biomass P2-6</w:t>
            </w:r>
          </w:p>
        </w:tc>
        <w:tc>
          <w:tcPr>
            <w:tcW w:type="dxa" w:w="2880"/>
          </w:tcPr>
          <w:p>
            <w:r>
              <w:rPr>
                <w:sz w:val="17"/>
              </w:rPr>
              <w:t>1.0/1.1</w:t>
            </w:r>
          </w:p>
        </w:tc>
        <w:tc>
          <w:tcPr>
            <w:tcW w:type="dxa" w:w="2880"/>
          </w:tcPr>
          <w:p>
            <w:r>
              <w:rPr>
                <w:sz w:val="17"/>
              </w:rPr>
              <w:t>Table 1 (incorporated EU doc)</w:t>
            </w:r>
          </w:p>
        </w:tc>
      </w:tr>
      <w:tr>
        <w:tc>
          <w:tcPr>
            <w:tcW w:type="dxa" w:w="2880"/>
          </w:tcPr>
          <w:p>
            <w:r>
              <w:rPr>
                <w:sz w:val="17"/>
              </w:rPr>
              <w:t>EU 205 GHG</w:t>
            </w:r>
          </w:p>
        </w:tc>
        <w:tc>
          <w:tcPr>
            <w:tcW w:type="dxa" w:w="2880"/>
          </w:tcPr>
          <w:p>
            <w:r>
              <w:rPr>
                <w:sz w:val="17"/>
              </w:rPr>
              <w:t>4.1</w:t>
            </w:r>
          </w:p>
        </w:tc>
        <w:tc>
          <w:tcPr>
            <w:tcW w:type="dxa" w:w="2880"/>
          </w:tcPr>
          <w:p>
            <w:r>
              <w:rPr>
                <w:sz w:val="17"/>
              </w:rPr>
              <w:t>Table 1; re-read v4.1 — cited clauses identical to v4.2</w:t>
            </w:r>
          </w:p>
        </w:tc>
      </w:tr>
      <w:tr>
        <w:tc>
          <w:tcPr>
            <w:tcW w:type="dxa" w:w="2880"/>
          </w:tcPr>
          <w:p>
            <w:r>
              <w:rPr>
                <w:sz w:val="17"/>
              </w:rPr>
              <w:t>PLUS Overview</w:t>
            </w:r>
          </w:p>
        </w:tc>
        <w:tc>
          <w:tcPr>
            <w:tcW w:type="dxa" w:w="2880"/>
          </w:tcPr>
          <w:p>
            <w:r>
              <w:rPr>
                <w:sz w:val="17"/>
              </w:rPr>
              <w:t>1.2</w:t>
            </w:r>
          </w:p>
        </w:tc>
        <w:tc>
          <w:tcPr>
            <w:tcW w:type="dxa" w:w="2880"/>
          </w:tcPr>
          <w:p>
            <w:r>
              <w:rPr>
                <w:sz w:val="17"/>
              </w:rPr>
              <w:t>the defining authority</w:t>
            </w:r>
          </w:p>
        </w:tc>
      </w:tr>
    </w:tbl>
    <w:p>
      <w:pPr>
        <w:spacing w:before="280" w:after="60"/>
      </w:pPr>
      <w:r>
        <w:rPr>
          <w:b/>
          <w:color w:val="A62A2A"/>
          <w:sz w:val="28"/>
        </w:rPr>
        <w:t>3.  Feedstock classification — CORRECTED: whole logs are forest biomass, not a residue</w:t>
      </w:r>
    </w:p>
    <w:p>
      <w:pPr>
        <w:spacing w:after="100"/>
      </w:pPr>
      <w:r>
        <w:rPr>
          <w:i w:val="0"/>
          <w:sz w:val="20"/>
        </w:rPr>
        <w:t>A prior working assumption was to pursue "forestry residue" classification (which would zero the extraction emissions). The governing document overturns that for whole logs. EU 202-3 Forest Biomass v1.0, §2 (p.7):</w:t>
      </w:r>
    </w:p>
    <w:p>
      <w:pPr>
        <w:spacing w:after="20"/>
        <w:ind w:left="432"/>
      </w:pPr>
      <w:r>
        <w:rPr>
          <w:i/>
          <w:color w:val="333333"/>
          <w:sz w:val="18"/>
        </w:rPr>
        <w:t>“Forest biomass is biomass produced from forestry, including solid biomass such as trunks and non-wood forest products. Furthermore, the requirements apply to all forestry residues (e.g. branches, bark, needles, tree tops, roots and stumps) occurring as part of any cultivation and harvesting operations…”</w:t>
      </w:r>
    </w:p>
    <w:p>
      <w:pPr>
        <w:spacing w:after="140"/>
        <w:ind w:left="432"/>
      </w:pPr>
      <w:r>
        <w:rPr>
          <w:color w:val="666666"/>
          <w:sz w:val="16"/>
        </w:rPr>
        <w:t>— ISCC EU 202-3 Forest Biomass v1.0, §2, p.7</w:t>
      </w:r>
    </w:p>
    <w:p>
      <w:pPr>
        <w:pStyle w:val="ListBullet"/>
        <w:spacing w:after="60"/>
      </w:pPr>
      <w:r>
        <w:rPr>
          <w:b/>
        </w:rPr>
        <w:t xml:space="preserve">Consequence: </w:t>
      </w:r>
      <w:r>
        <w:t xml:space="preserve"> ISCC classifies trunks as forest biomass and reserves "forestry residue" for the slash (branches, bark, needles, tops, roots, stumps). Charm’s non-merchantable whole logs are trunks → forest biomass. The forestry-residue route is closed for that material by this clause.</w:t>
      </w:r>
    </w:p>
    <w:p>
      <w:pPr>
        <w:pStyle w:val="ListBullet"/>
        <w:spacing w:after="60"/>
      </w:pPr>
      <w:r>
        <w:rPr>
          <w:b/>
        </w:rPr>
        <w:t xml:space="preserve">Therefore: </w:t>
      </w:r>
      <w:r>
        <w:t xml:space="preserve"> extraction/harvesting emissions (e_ec) are COUNTED for the log fraction — not zeroed. (Residue/waste status is the only in-framework way to zero e_ec — EU 205 v4.1 §4.2, p.21 — and it does not apply here.) The separate "waste" route (202-5’s "holder discards" test) remains theoretically open but is uphill and is the auditor’s call.</w:t>
      </w:r>
    </w:p>
    <w:p>
      <w:pPr>
        <w:pStyle w:val="ListBullet"/>
        <w:spacing w:after="60"/>
      </w:pPr>
      <w:r>
        <w:rPr>
          <w:b/>
        </w:rPr>
        <w:t xml:space="preserve">Product prefix: </w:t>
      </w:r>
      <w:r>
        <w:t xml:space="preserve"> the ISCC PLUS product entry is "Bio Pyrolysis oil" (bio prefix = virgin biomass), NOT "Bio-circular".</w:t>
      </w:r>
    </w:p>
    <w:p>
      <w:pPr>
        <w:spacing w:before="280" w:after="60"/>
      </w:pPr>
      <w:r>
        <w:rPr>
          <w:b/>
          <w:color w:val="0F6E63"/>
          <w:sz w:val="28"/>
        </w:rPr>
        <w:t>4.  What must be true for Charm-bio-oil SAF to carry an ISCC PLUS claim</w:t>
      </w:r>
    </w:p>
    <w:p>
      <w:pPr>
        <w:spacing w:after="20"/>
        <w:ind w:left="432"/>
      </w:pPr>
      <w:r>
        <w:rPr>
          <w:i/>
          <w:color w:val="333333"/>
          <w:sz w:val="18"/>
        </w:rPr>
        <w:t>“Every element of a supply chain for certified materials must provide evidence of compliance with ISCC PLUS requirements. This is obtained through the certification of every supply chain element.”</w:t>
      </w:r>
    </w:p>
    <w:p>
      <w:pPr>
        <w:spacing w:after="140"/>
        <w:ind w:left="432"/>
      </w:pPr>
      <w:r>
        <w:rPr>
          <w:color w:val="666666"/>
          <w:sz w:val="16"/>
        </w:rPr>
        <w:t>— 203-1 v1.1, §1, p.4</w:t>
      </w:r>
    </w:p>
    <w:p>
      <w:pPr>
        <w:spacing w:after="20"/>
        <w:ind w:left="432"/>
      </w:pPr>
      <w:r>
        <w:rPr>
          <w:i/>
          <w:color w:val="333333"/>
          <w:sz w:val="18"/>
        </w:rPr>
        <w:t>“The issuance and trading of sustainability declarations without the link to an equivalent amount of physical certified material is considered as book-and-claim and thus not allowed under ISCC PLUS.”</w:t>
      </w:r>
    </w:p>
    <w:p>
      <w:pPr>
        <w:spacing w:after="140"/>
        <w:ind w:left="432"/>
      </w:pPr>
      <w:r>
        <w:rPr>
          <w:color w:val="666666"/>
          <w:sz w:val="16"/>
        </w:rPr>
        <w:t>— 203-1 v1.1, §3.4.9, p.45</w:t>
      </w:r>
    </w:p>
    <w:p>
      <w:pPr>
        <w:pStyle w:val="ListBullet"/>
        <w:spacing w:after="60"/>
      </w:pPr>
      <w:r>
        <w:rPr>
          <w:b/>
        </w:rPr>
        <w:t xml:space="preserve">(1) </w:t>
      </w:r>
      <w:r>
        <w:t xml:space="preserve"> Charm’s bio-oil is certified material — Charm = Processing Unit "Pyrolysis Plant → Pyrolysis Oil" (203-1 Table 1, p.46), certified individually (§3.4.10, p.47).</w:t>
      </w:r>
    </w:p>
    <w:p>
      <w:pPr>
        <w:pStyle w:val="ListBullet"/>
        <w:spacing w:after="60"/>
      </w:pPr>
      <w:r>
        <w:rPr>
          <w:b/>
        </w:rPr>
        <w:t xml:space="preserve">(2) </w:t>
      </w:r>
      <w:r>
        <w:t xml:space="preserve"> Biomass suppliers are covered under Charm’s certificate as a First Gathering Point group — no individual forester certificates (§6).</w:t>
      </w:r>
    </w:p>
    <w:p>
      <w:pPr>
        <w:pStyle w:val="ListBullet"/>
        <w:spacing w:after="60"/>
      </w:pPr>
      <w:r>
        <w:rPr>
          <w:b/>
        </w:rPr>
        <w:t xml:space="preserve">(3) </w:t>
      </w:r>
      <w:r>
        <w:t xml:space="preserve"> The refinery is ISCC PLUS certified as a Processing Unit "Refinery → Refined Oils" (203-1 Table 1, p.46).</w:t>
      </w:r>
    </w:p>
    <w:p>
      <w:pPr>
        <w:pStyle w:val="ListBullet"/>
        <w:spacing w:after="60"/>
      </w:pPr>
      <w:r>
        <w:rPr>
          <w:b/>
        </w:rPr>
        <w:t xml:space="preserve">(4) </w:t>
      </w:r>
      <w:r>
        <w:t xml:space="preserve"> Every transfer carries a valid Sustainability Declaration linked to a physical batch (§10). Transport itself needs no certificate (203-1 §3.1, p.5).</w:t>
      </w:r>
    </w:p>
    <w:p>
      <w:pPr>
        <w:pStyle w:val="ListBullet"/>
        <w:spacing w:after="60"/>
      </w:pPr>
      <w:r>
        <w:rPr>
          <w:b/>
        </w:rPr>
        <w:t xml:space="preserve">(5) </w:t>
      </w:r>
      <w:r>
        <w:t xml:space="preserve"> The claim uses Free Attribution under the Mass Balance Credit Method with complete reflection (203-2 §6.4.2 — §7).</w:t>
      </w:r>
    </w:p>
    <w:p>
      <w:pPr>
        <w:spacing w:before="280" w:after="60"/>
      </w:pPr>
      <w:r>
        <w:rPr>
          <w:b/>
          <w:color w:val="0F6E63"/>
          <w:sz w:val="28"/>
        </w:rPr>
        <w:t>5.  The two refinery scenarios</w:t>
      </w:r>
    </w:p>
    <w:p>
      <w:pPr>
        <w:spacing w:before="180" w:after="40"/>
      </w:pPr>
      <w:r>
        <w:rPr>
          <w:b/>
          <w:color w:val="222222"/>
          <w:sz w:val="23"/>
        </w:rPr>
        <w:t>Scenario A — refinery already ISCC PLUS certified (the 123Carbon lead)</w:t>
      </w:r>
    </w:p>
    <w:p>
      <w:pPr>
        <w:pStyle w:val="ListBullet"/>
        <w:spacing w:after="60"/>
      </w:pPr>
      <w:r>
        <w:rPr>
          <w:b/>
        </w:rPr>
        <w:t xml:space="preserve">Sale: </w:t>
      </w:r>
      <w:r>
        <w:t xml:space="preserve"> Charm certified (FGP + Processing Unit); Charm issues an SD per bio-oil batch; refinery accepts it and issues the SAF claim.</w:t>
      </w:r>
    </w:p>
    <w:p>
      <w:pPr>
        <w:spacing w:after="20"/>
        <w:ind w:left="432"/>
      </w:pPr>
      <w:r>
        <w:rPr>
          <w:i/>
          <w:color w:val="333333"/>
          <w:sz w:val="18"/>
        </w:rPr>
        <w:t>“In this case, the certified feedstock owner has a tolling agreement with a Processing Unit, and shall possess a valid certificate with any of the following scopes: Trader / Trader with Storage / Processing Unit.”</w:t>
      </w:r>
    </w:p>
    <w:p>
      <w:pPr>
        <w:spacing w:after="140"/>
        <w:ind w:left="432"/>
      </w:pPr>
      <w:r>
        <w:rPr>
          <w:color w:val="666666"/>
          <w:sz w:val="16"/>
        </w:rPr>
        <w:t>— 203-1 v1.1, §3.6.1, p.70</w:t>
      </w:r>
    </w:p>
    <w:p>
      <w:pPr>
        <w:pStyle w:val="ListBullet"/>
        <w:spacing w:after="60"/>
      </w:pPr>
      <w:r>
        <w:rPr>
          <w:b/>
        </w:rPr>
        <w:t xml:space="preserve">Tolling: </w:t>
      </w:r>
      <w:r>
        <w:t xml:space="preserve"> Charm keeps ownership of bio-oil and SAF; Charm holds Trader-with-Storage or Processing Unit scope; SD flow Charm→refinery→Charm→buyer.</w:t>
      </w:r>
    </w:p>
    <w:p>
      <w:pPr>
        <w:spacing w:before="180" w:after="40"/>
      </w:pPr>
      <w:r>
        <w:rPr>
          <w:b/>
          <w:color w:val="222222"/>
          <w:sz w:val="23"/>
        </w:rPr>
        <w:t>Scenario B — refinery not certified</w:t>
      </w:r>
    </w:p>
    <w:p>
      <w:pPr>
        <w:spacing w:after="100"/>
      </w:pPr>
      <w:r>
        <w:rPr>
          <w:i w:val="0"/>
          <w:sz w:val="20"/>
        </w:rPr>
        <w:t>The refinery must certify on its own as a Processing Unit — no group certification or sampling for Processing Units (203-1 §3.4.10, p.47). Its cost, its schedule risk. Prefer the already-certified refinery.</w:t>
      </w:r>
    </w:p>
    <w:p>
      <w:pPr>
        <w:spacing w:before="280" w:after="60"/>
      </w:pPr>
      <w:r>
        <w:rPr>
          <w:b/>
          <w:color w:val="0F6E63"/>
          <w:sz w:val="28"/>
        </w:rPr>
        <w:t>6.  Biomass sourcing — the First Gathering Point group model</w:t>
      </w:r>
    </w:p>
    <w:p>
      <w:pPr>
        <w:spacing w:after="20"/>
        <w:ind w:left="432"/>
      </w:pPr>
      <w:r>
        <w:rPr>
          <w:i/>
          <w:color w:val="333333"/>
          <w:sz w:val="18"/>
        </w:rPr>
        <w:t>“The obligation for individual certification according to this standard starts with the First Gathering Point and/or Collecting Point. Farms or Plantations/Forest Sourcing Areas … can be … certified as a part of a group under a … First Gathering Point …, on a voluntary basis.”</w:t>
      </w:r>
    </w:p>
    <w:p>
      <w:pPr>
        <w:spacing w:after="140"/>
        <w:ind w:left="432"/>
      </w:pPr>
      <w:r>
        <w:rPr>
          <w:color w:val="666666"/>
          <w:sz w:val="16"/>
        </w:rPr>
        <w:t>— 203-1 v1.1, §3.3.5, p.18</w:t>
      </w:r>
    </w:p>
    <w:p>
      <w:pPr>
        <w:spacing w:after="20"/>
        <w:ind w:left="432"/>
      </w:pPr>
      <w:r>
        <w:rPr>
          <w:i/>
          <w:color w:val="333333"/>
          <w:sz w:val="18"/>
        </w:rPr>
        <w:t>“Farms or Plantations/Forest Sourcing Areas participating in group certification do not receive an individual certificate, as they will be covered by the certificate of the First Gathering Point.”</w:t>
      </w:r>
    </w:p>
    <w:p>
      <w:pPr>
        <w:spacing w:after="140"/>
        <w:ind w:left="432"/>
      </w:pPr>
      <w:r>
        <w:rPr>
          <w:color w:val="666666"/>
          <w:sz w:val="16"/>
        </w:rPr>
        <w:t>— 203-1 v1.1, §3.4.4, p.27</w:t>
      </w:r>
    </w:p>
    <w:p>
      <w:pPr>
        <w:pStyle w:val="ListBullet"/>
        <w:spacing w:after="60"/>
      </w:pPr>
      <w:r>
        <w:rPr>
          <w:b/>
        </w:rPr>
        <w:t xml:space="preserve">Foresters: </w:t>
      </w:r>
      <w:r>
        <w:t xml:space="preserve"> each forester signs an annual self-declaration + provides a harvest-time risk assessment; must meet EU 202-3 Principle 1 (a violation is a critical, non-curable non-conformity) + immediate requirements of EU 202-4 Principles 2-6.</w:t>
      </w:r>
    </w:p>
    <w:p>
      <w:pPr>
        <w:spacing w:after="20"/>
        <w:ind w:left="432"/>
      </w:pPr>
      <w:r>
        <w:rPr>
          <w:i/>
          <w:color w:val="333333"/>
          <w:sz w:val="18"/>
        </w:rPr>
        <w:t>“All group members must be audited in an internal audit at least once a year. … Before a new member can be registered, they must first be internally audited.”</w:t>
      </w:r>
    </w:p>
    <w:p>
      <w:pPr>
        <w:spacing w:after="140"/>
        <w:ind w:left="432"/>
      </w:pPr>
      <w:r>
        <w:rPr>
          <w:color w:val="666666"/>
          <w:sz w:val="16"/>
        </w:rPr>
        <w:t>— 203-1 v1.1, §3.5.4, p.57</w:t>
      </w:r>
    </w:p>
    <w:p>
      <w:pPr>
        <w:spacing w:after="20"/>
        <w:ind w:left="432"/>
      </w:pPr>
      <w:r>
        <w:rPr>
          <w:i/>
          <w:color w:val="333333"/>
          <w:sz w:val="18"/>
        </w:rPr>
        <w:t>“The sample size is determined by the following formula: s = r × √n. … The minimum sample size is the square root of the total number of group members (√n).”</w:t>
      </w:r>
    </w:p>
    <w:p>
      <w:pPr>
        <w:spacing w:after="140"/>
        <w:ind w:left="432"/>
      </w:pPr>
      <w:r>
        <w:rPr>
          <w:color w:val="666666"/>
          <w:sz w:val="16"/>
        </w:rPr>
        <w:t>— 203-1 v1.1, §3.5.5, p.58</w:t>
      </w:r>
    </w:p>
    <w:p>
      <w:pPr>
        <w:spacing w:after="100"/>
      </w:pPr>
      <w:r>
        <w:rPr>
          <w:i/>
          <w:sz w:val="18"/>
        </w:rPr>
        <w:t>So Charm internally audits every forester yearly and runs the group management system; the certification body audits Charm on-site plus a rotating √n sample of foresters. ~25 foresters → ~5 externally audited/year.</w:t>
      </w:r>
    </w:p>
    <w:p>
      <w:pPr>
        <w:spacing w:before="280" w:after="60"/>
      </w:pPr>
      <w:r>
        <w:rPr>
          <w:b/>
          <w:color w:val="0F6E63"/>
          <w:sz w:val="28"/>
        </w:rPr>
        <w:t>7.  Chain of custody and free attribution</w:t>
      </w:r>
    </w:p>
    <w:p>
      <w:pPr>
        <w:spacing w:after="20"/>
        <w:ind w:left="432"/>
      </w:pPr>
      <w:r>
        <w:rPr>
          <w:i/>
          <w:color w:val="333333"/>
          <w:sz w:val="18"/>
        </w:rPr>
        <w:t>“This chapter provides a detailed description of the different methods of chain of custody that can be applied according to the ISCC PLUS standard: Physical Segregation, Controlled blending and Mass balance.”</w:t>
      </w:r>
    </w:p>
    <w:p>
      <w:pPr>
        <w:spacing w:after="140"/>
        <w:ind w:left="432"/>
      </w:pPr>
      <w:r>
        <w:rPr>
          <w:color w:val="666666"/>
          <w:sz w:val="16"/>
        </w:rPr>
        <w:t>— 203-2 v1.1, §3.1, p.4</w:t>
      </w:r>
    </w:p>
    <w:p>
      <w:pPr>
        <w:spacing w:after="20"/>
        <w:ind w:left="432"/>
      </w:pPr>
      <w:r>
        <w:rPr>
          <w:i/>
          <w:color w:val="333333"/>
          <w:sz w:val="18"/>
        </w:rPr>
        <w:t>“Under Free Attribution Approach, the system user can attribute the sustainability characteristics from the certified input materials to the products, within the system boundary and the guardrails described in Chapter 6.2. This attribution can be done irrelevant of the proportion of the certified input material to the other inputs and categorisation of the products.”</w:t>
      </w:r>
    </w:p>
    <w:p>
      <w:pPr>
        <w:spacing w:after="140"/>
        <w:ind w:left="432"/>
      </w:pPr>
      <w:r>
        <w:rPr>
          <w:color w:val="666666"/>
          <w:sz w:val="16"/>
        </w:rPr>
        <w:t>— 203-2 v1.1, §6.4.2, p.26</w:t>
      </w:r>
    </w:p>
    <w:p>
      <w:pPr>
        <w:spacing w:after="100"/>
      </w:pPr>
      <w:r>
        <w:rPr>
          <w:i w:val="0"/>
          <w:sz w:val="20"/>
        </w:rPr>
        <w:t>Use complete reflection (the certified share reflects only certified input) — 203-2 §6.4.2, p.27. Mass-balance (Credit Method) period is at most three months (203-2 §6.5, p.23). Credits cannot cross to ISCC EU (203-2 §6.4.1, p.26).</w:t>
      </w:r>
    </w:p>
    <w:p>
      <w:pPr>
        <w:spacing w:before="280" w:after="60"/>
      </w:pPr>
      <w:r>
        <w:rPr>
          <w:b/>
          <w:color w:val="0F6E63"/>
          <w:sz w:val="28"/>
        </w:rPr>
        <w:t>8.  GHG intensity (CI) — no minimum, 12-month cadence</w:t>
      </w:r>
    </w:p>
    <w:p>
      <w:pPr>
        <w:spacing w:after="100"/>
      </w:pPr>
      <w:r>
        <w:rPr>
          <w:i w:val="0"/>
          <w:sz w:val="20"/>
        </w:rPr>
        <w:t>There is no GHG-reduction threshold to be certified. PLUS certification requirements are sustainability + management system + traceability/chain of custody (201 v1.1 §2.3); GHG is a voluntary add-on (201 §2.4). The CI is a declared value whose acceptable level is set by the buyer or any downstream compliance market.</w:t>
      </w:r>
    </w:p>
    <w:p>
      <w:pPr>
        <w:spacing w:after="20"/>
        <w:ind w:left="432"/>
      </w:pPr>
      <w:r>
        <w:rPr>
          <w:i/>
          <w:color w:val="333333"/>
          <w:sz w:val="18"/>
        </w:rPr>
        <w:t>“The calculation period should cover a full twelve-month period … As an alternative, it must cover the previous calendar or financial year … If, at the initial certification audit, no actual data is available … “design data” can be used … Six months after … must prove … the values based on design data are appropriate … After one year, the company has to switch … to actual data.”</w:t>
      </w:r>
    </w:p>
    <w:p>
      <w:pPr>
        <w:spacing w:after="140"/>
        <w:ind w:left="432"/>
      </w:pPr>
      <w:r>
        <w:rPr>
          <w:color w:val="666666"/>
          <w:sz w:val="16"/>
        </w:rPr>
        <w:t>— ISCC EU 205 v4.1, §4.1, p.20</w:t>
      </w:r>
    </w:p>
    <w:p>
      <w:pPr>
        <w:spacing w:after="100"/>
      </w:pPr>
      <w:r>
        <w:rPr>
          <w:i/>
          <w:sz w:val="18"/>
        </w:rPr>
        <w:t>One CI, computed over a 12-month period, applied forward to the bio-oil it covers — not recomputed per batch — refreshed at annual recertification. Mass-balance quantity bookkeeping reconciles on a separate ≤3-month clock (203-2 §6.5).</w:t>
      </w:r>
    </w:p>
    <w:p>
      <w:pPr>
        <w:spacing w:before="280" w:after="60"/>
      </w:pPr>
      <w:r>
        <w:rPr>
          <w:b/>
          <w:color w:val="0F6E63"/>
          <w:sz w:val="28"/>
        </w:rPr>
        <w:t>9.  Co-product allocation — energy content, mandatory (RSB deck → ISCC PLUS)</w:t>
      </w:r>
    </w:p>
    <w:p>
      <w:pPr>
        <w:spacing w:after="20"/>
        <w:ind w:left="432"/>
      </w:pPr>
      <w:r>
        <w:rPr>
          <w:i/>
          <w:color w:val="333333"/>
          <w:sz w:val="18"/>
        </w:rPr>
        <w:t>“Allocation is done based on the AF, which reflects the relation of the total energy content of the intermediate main product to the total energy content of all products. The energy content is calculated from the lower heating value and the yield of the respective product.”</w:t>
      </w:r>
    </w:p>
    <w:p>
      <w:pPr>
        <w:spacing w:after="140"/>
        <w:ind w:left="432"/>
      </w:pPr>
      <w:r>
        <w:rPr>
          <w:color w:val="666666"/>
          <w:sz w:val="16"/>
        </w:rPr>
        <w:t>— ISCC EU 205 v4.1, §4.3.8.1, p.55</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D6E4F0"/>
          </w:tcPr>
          <w:p>
            <w:r>
              <w:rPr>
                <w:b/>
                <w:sz w:val="17"/>
              </w:rPr>
              <w:t>Issue</w:t>
            </w:r>
          </w:p>
        </w:tc>
        <w:tc>
          <w:tcPr>
            <w:tcW w:type="dxa" w:w="2880"/>
            <w:shd w:val="clear" w:color="auto" w:fill="D6E4F0"/>
          </w:tcPr>
          <w:p>
            <w:r>
              <w:rPr>
                <w:b/>
                <w:sz w:val="17"/>
              </w:rPr>
              <w:t>Your RSB deck</w:t>
            </w:r>
          </w:p>
        </w:tc>
        <w:tc>
          <w:tcPr>
            <w:tcW w:type="dxa" w:w="2880"/>
            <w:shd w:val="clear" w:color="auto" w:fill="D6E4F0"/>
          </w:tcPr>
          <w:p>
            <w:r>
              <w:rPr>
                <w:b/>
                <w:sz w:val="17"/>
              </w:rPr>
              <w:t>ISCC PLUS (verified)</w:t>
            </w:r>
          </w:p>
        </w:tc>
      </w:tr>
      <w:tr>
        <w:tc>
          <w:tcPr>
            <w:tcW w:type="dxa" w:w="2880"/>
          </w:tcPr>
          <w:p>
            <w:r>
              <w:rPr>
                <w:sz w:val="17"/>
              </w:rPr>
              <w:t>Pyrolysis split (bio-oil/biochar)</w:t>
            </w:r>
          </w:p>
        </w:tc>
        <w:tc>
          <w:tcPr>
            <w:tcW w:type="dxa" w:w="2880"/>
          </w:tcPr>
          <w:p>
            <w:r>
              <w:rPr>
                <w:sz w:val="17"/>
              </w:rPr>
              <w:t>carbon-mass (Isometric)</w:t>
            </w:r>
          </w:p>
        </w:tc>
        <w:tc>
          <w:tcPr>
            <w:tcW w:type="dxa" w:w="2880"/>
          </w:tcPr>
          <w:p>
            <w:r>
              <w:rPr>
                <w:sz w:val="17"/>
              </w:rPr>
              <w:t>EU 205 v4.1 §4.3.8 energy-content AF (mandatory)</w:t>
            </w:r>
          </w:p>
        </w:tc>
      </w:tr>
      <w:tr>
        <w:tc>
          <w:tcPr>
            <w:tcW w:type="dxa" w:w="2880"/>
          </w:tcPr>
          <w:p>
            <w:r>
              <w:rPr>
                <w:sz w:val="17"/>
              </w:rPr>
              <w:t>Refinery co-processing emissions</w:t>
            </w:r>
          </w:p>
        </w:tc>
        <w:tc>
          <w:tcPr>
            <w:tcW w:type="dxa" w:w="2880"/>
          </w:tcPr>
          <w:p>
            <w:r>
              <w:rPr>
                <w:sz w:val="17"/>
              </w:rPr>
              <w:t>RSB virtual split</w:t>
            </w:r>
          </w:p>
        </w:tc>
        <w:tc>
          <w:tcPr>
            <w:tcW w:type="dxa" w:w="2880"/>
          </w:tcPr>
          <w:p>
            <w:r>
              <w:rPr>
                <w:sz w:val="17"/>
              </w:rPr>
              <w:t>EU 205 v4.1 §4.3.8 energy-content AF (no virtual split under PLUS)</w:t>
            </w:r>
          </w:p>
        </w:tc>
      </w:tr>
      <w:tr>
        <w:tc>
          <w:tcPr>
            <w:tcW w:type="dxa" w:w="2880"/>
          </w:tcPr>
          <w:p>
            <w:r>
              <w:rPr>
                <w:sz w:val="17"/>
              </w:rPr>
              <w:t>Biogenic carbon attribution</w:t>
            </w:r>
          </w:p>
        </w:tc>
        <w:tc>
          <w:tcPr>
            <w:tcW w:type="dxa" w:w="2880"/>
          </w:tcPr>
          <w:p>
            <w:r>
              <w:rPr>
                <w:sz w:val="17"/>
              </w:rPr>
              <w:t>RSB §2.4.5 flexible</w:t>
            </w:r>
          </w:p>
        </w:tc>
        <w:tc>
          <w:tcPr>
            <w:tcW w:type="dxa" w:w="2880"/>
          </w:tcPr>
          <w:p>
            <w:r>
              <w:rPr>
                <w:sz w:val="17"/>
              </w:rPr>
              <w:t>203-2 v1.1 §6.4.2 free attribution (complete reflection)</w:t>
            </w:r>
          </w:p>
        </w:tc>
      </w:tr>
    </w:tbl>
    <w:p>
      <w:pPr>
        <w:spacing w:after="100"/>
      </w:pPr>
      <w:r>
        <w:rPr>
          <w:i/>
          <w:sz w:val="18"/>
        </w:rPr>
        <w:t>Emissions allocation to waste/residue products is not permitted; negative-LHV co-products count as zero (EU 205 v4.1 §4.3.8, p.55). Your deck’s carbon-mass pyrolysis split does not satisfy §4.3.8 — the bio-oil’s share must be recomputed on an energy basis for the ISCC number.</w:t>
      </w:r>
    </w:p>
    <w:p>
      <w:pPr>
        <w:spacing w:before="280" w:after="60"/>
      </w:pPr>
      <w:r>
        <w:rPr>
          <w:b/>
          <w:color w:val="0F6E63"/>
          <w:sz w:val="28"/>
        </w:rPr>
        <w:t>10.  Sustainability Declaration mechanics</w:t>
      </w:r>
    </w:p>
    <w:p>
      <w:pPr>
        <w:pStyle w:val="ListBullet"/>
        <w:spacing w:after="60"/>
      </w:pPr>
      <w:r>
        <w:rPr>
          <w:b/>
        </w:rPr>
        <w:t xml:space="preserve">Timing / count: </w:t>
      </w:r>
      <w:r>
        <w:t xml:space="preserve"> one SD per delivered batch (or a ≤30-day aggregation), issued within 30 days of dispatch — 203-1 §3.3.2, pp.13–14. No internal SD between Charm’s own functions/sites (203-1 §3.3.4, p.17).</w:t>
      </w:r>
    </w:p>
    <w:p>
      <w:pPr>
        <w:pStyle w:val="ListBullet"/>
        <w:spacing w:after="60"/>
      </w:pPr>
      <w:r>
        <w:rPr>
          <w:b/>
        </w:rPr>
        <w:t xml:space="preserve">Quantity: </w:t>
      </w:r>
      <w:r>
        <w:t xml:space="preserve"> the certified quantity is a mass-balance allocation, capped by the balance — "the sustainability declaration does not necessarily reflect the product physically delivered" (203-1 §3.3.2, p.11).</w:t>
      </w:r>
    </w:p>
    <w:p>
      <w:pPr>
        <w:pStyle w:val="ListBullet"/>
        <w:spacing w:after="60"/>
      </w:pPr>
      <w:r>
        <w:rPr>
          <w:b/>
        </w:rPr>
        <w:t xml:space="preserve">Content: </w:t>
      </w:r>
      <w:r>
        <w:t xml:space="preserve"> mandatory fields in 203-1 §3.3.3, pp.15–16 (built out in the companion notional SD). Product entry: "Bio Pyrolysis oil" (Material List, 9 Jun 2025, Table 2: "Pyrolysis oil (specification) — Liquid products of the pyrolysis process").</w:t>
      </w:r>
    </w:p>
    <w:p>
      <w:pPr>
        <w:spacing w:before="280" w:after="60"/>
      </w:pPr>
      <w:r>
        <w:rPr>
          <w:b/>
          <w:color w:val="0F6E63"/>
          <w:sz w:val="28"/>
        </w:rPr>
        <w:t>11.  Certification path</w:t>
      </w:r>
    </w:p>
    <w:p>
      <w:pPr>
        <w:spacing w:after="20"/>
        <w:ind w:left="432"/>
      </w:pPr>
      <w:r>
        <w:rPr>
          <w:i/>
          <w:color w:val="333333"/>
          <w:sz w:val="18"/>
        </w:rPr>
        <w:t>“The registration process consists of two steps: 1. The economic operator must sign a contract with one of the CBs cooperating with ISCC. … 2. The economic operator must register with ISCC. The registration … contains … the chosen ISCC PLUS certification system, scopes and add-ons … Only after receiving the registration confirmation mail, the selected CB can conduct an audit.”</w:t>
      </w:r>
    </w:p>
    <w:p>
      <w:pPr>
        <w:spacing w:after="140"/>
        <w:ind w:left="432"/>
      </w:pPr>
      <w:r>
        <w:rPr>
          <w:color w:val="666666"/>
          <w:sz w:val="16"/>
        </w:rPr>
        <w:t>— 201 v1.1, §3.1.1, p.27</w:t>
      </w:r>
    </w:p>
    <w:p>
      <w:pPr>
        <w:pStyle w:val="ListBullet"/>
        <w:spacing w:after="60"/>
      </w:pPr>
      <w:r>
        <w:rPr>
          <w:b/>
        </w:rPr>
        <w:t xml:space="preserve">Sequence: </w:t>
      </w:r>
      <w:r>
        <w:t xml:space="preserve"> register once (declaring the FGP + Processing Unit scopes) → initial on-site audit (201 §3.2.1 p.31; on-site p.32; not retrospective) → 12-month certificate, annual renewal. Free choice of CB (201 p.30).</w:t>
      </w:r>
    </w:p>
    <w:p>
      <w:pPr>
        <w:pStyle w:val="ListBullet"/>
        <w:spacing w:after="60"/>
      </w:pPr>
      <w:r>
        <w:rPr>
          <w:b/>
        </w:rPr>
        <w:t xml:space="preserve">Cost: </w:t>
      </w:r>
      <w:r>
        <w:t xml:space="preserve"> ISCC publishes no audit fee; cost is a CB quote plus an ISCC registration fee.</w:t>
      </w:r>
    </w:p>
    <w:p>
      <w:pPr>
        <w:spacing w:before="280" w:after="60"/>
      </w:pPr>
      <w:r>
        <w:rPr>
          <w:b/>
          <w:color w:val="1E7A3C"/>
          <w:sz w:val="28"/>
        </w:rPr>
        <w:t>12.  Biogenic content — RESOLVED: the method is in 203-2 §7 (in hand)</w:t>
      </w:r>
    </w:p>
    <w:p>
      <w:pPr>
        <w:spacing w:after="100"/>
      </w:pPr>
      <w:r>
        <w:rPr>
          <w:i/>
          <w:sz w:val="20"/>
        </w:rPr>
        <w:t>The biogenic-fraction determination method under ISCC PLUS is stated in 203-2 v1.1 §7 (pp.36–37), a document already read this session: "Under ISCC PLUS, the ¹⁴C isotope analysis is used to determine the actual bio-based carbon content … by measuring the ratio of carbon-14 to carbon-12 isotopes," it is "independent of the chain of custody models," and "can be used to analyse a product made from a mix of bio-based and fossil-based polymers … to determine its actual bio-based carbon content" — directly applicable to co-processed SAF. The separate ISCC 203-01 Co-Processing guidance holds only the ¹⁴C SAMPLING REGIME (how often to sample), per 203-2 §7 footnote 31 — a supporting operational detail, not the method. So there is no substantive gap here; the earlier "behind the client-section login" framing overstated it. Annex I (p.38) additionally confirms for PLUS: GHG on the SD only if the voluntary "GHG emissions" add-on is applied; credit transfer between an operator’s own sites is permitted for processing units and storage under certain conditions.</w:t>
      </w:r>
    </w:p>
    <w:p>
      <w:pPr>
        <w:spacing w:before="280" w:after="60"/>
      </w:pPr>
      <w:r>
        <w:rPr>
          <w:b/>
          <w:color w:val="0F6E63"/>
          <w:sz w:val="28"/>
        </w:rPr>
        <w:t>Sources — read directly this session (at the versions above)</w:t>
      </w:r>
    </w:p>
    <w:p>
      <w:pPr>
        <w:pStyle w:val="ListBullet"/>
        <w:spacing w:after="60"/>
      </w:pPr>
      <w:r>
        <w:rPr>
          <w:sz w:val="18"/>
        </w:rPr>
        <w:t>ISCC PLUS System Structure &amp; Overview of ISCC PLUS Documents v1.2 (§1 p.4; Table 1 pp.5–6; Table 3 p.8)</w:t>
      </w:r>
    </w:p>
    <w:p>
      <w:pPr>
        <w:pStyle w:val="ListBullet"/>
        <w:spacing w:after="60"/>
      </w:pPr>
      <w:r>
        <w:rPr>
          <w:sz w:val="18"/>
        </w:rPr>
        <w:t>ISCC PLUS 203-1 Traceability v1.1 (§1, §3.1, §3.3.2–3.3.5, §3.4.4, §3.4.9, §3.4.10, §3.5.4, §3.5.5, §3.6.1)</w:t>
      </w:r>
    </w:p>
    <w:p>
      <w:pPr>
        <w:pStyle w:val="ListBullet"/>
        <w:spacing w:after="60"/>
      </w:pPr>
      <w:r>
        <w:rPr>
          <w:sz w:val="18"/>
        </w:rPr>
        <w:t>ISCC PLUS 203-2 Chain of Custody v1.1 (§3.1, §6.4.1, §6.4.2, §6.5)</w:t>
      </w:r>
    </w:p>
    <w:p>
      <w:pPr>
        <w:pStyle w:val="ListBullet"/>
        <w:spacing w:after="60"/>
      </w:pPr>
      <w:r>
        <w:rPr>
          <w:sz w:val="18"/>
        </w:rPr>
        <w:t>ISCC PLUS 201 System Basics v1.1 (§2.3, §2.4, §3.1.1, §3.2.1)</w:t>
      </w:r>
    </w:p>
    <w:p>
      <w:pPr>
        <w:pStyle w:val="ListBullet"/>
        <w:spacing w:after="60"/>
      </w:pPr>
      <w:r>
        <w:rPr>
          <w:sz w:val="18"/>
        </w:rPr>
        <w:t>ISCC PLUS 202-5 Waste &amp; Residues v1.1 (§2.1, §2.2)</w:t>
      </w:r>
    </w:p>
    <w:p>
      <w:pPr>
        <w:pStyle w:val="ListBullet"/>
        <w:spacing w:after="60"/>
      </w:pPr>
      <w:r>
        <w:rPr>
          <w:sz w:val="18"/>
        </w:rPr>
        <w:t>ISCC EU 202-3 Forest Biomass Principle 1 v1.0 (§2, p.7)</w:t>
      </w:r>
    </w:p>
    <w:p>
      <w:pPr>
        <w:pStyle w:val="ListBullet"/>
        <w:spacing w:after="60"/>
      </w:pPr>
      <w:r>
        <w:rPr>
          <w:sz w:val="18"/>
        </w:rPr>
        <w:t>ISCC EU 202-4 Forest Biomass Principles 2-6 (Principles 2-6 scope)</w:t>
      </w:r>
    </w:p>
    <w:p>
      <w:pPr>
        <w:pStyle w:val="ListBullet"/>
        <w:spacing w:after="60"/>
      </w:pPr>
      <w:r>
        <w:rPr>
          <w:sz w:val="18"/>
        </w:rPr>
        <w:t>ISCC EU 205 Greenhouse Gas Emissions v4.1 (§4.1 p.20; §4.2 p.21; §4.3.8 p.55)</w:t>
      </w:r>
    </w:p>
    <w:p>
      <w:pPr>
        <w:pStyle w:val="ListBullet"/>
        <w:spacing w:after="60"/>
      </w:pPr>
      <w:r>
        <w:rPr>
          <w:sz w:val="18"/>
        </w:rPr>
        <w:t>ISCC PLUS List of Materials Eligible, 9 June 2025 (Table 2 — Pyrolysis oil)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