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BE9E7"/>
          </w:tcPr>
          <w:p>
            <w:r>
              <w:rPr>
                <w:b/>
                <w:color w:val="A62A2A"/>
                <w:sz w:val="17"/>
              </w:rPr>
              <w:t>DRAFT — modeled on the published ISCC self-declaration FORM structure (waste-variant template) + the forest-biomass requirements in ISCC PLUS 203-1 §3.3.5 and ISCC EU 202-3 (Principle 1) / 202-4 (Principles 2-6). ISCC’s exact mandatory Forest-Sourcing-Area template wording is client-section-gated; replace this text with it once accessed.</w:t>
            </w:r>
          </w:p>
        </w:tc>
      </w:tr>
    </w:tbl>
    <w:p/>
    <w:p>
      <w:r>
        <w:rPr>
          <w:b/>
          <w:color w:val="0F6E63"/>
          <w:sz w:val="32"/>
        </w:rPr>
        <w:t>ISCC Self-Declaration — Forest Sourcing Area</w:t>
      </w:r>
    </w:p>
    <w:p>
      <w:r>
        <w:rPr>
          <w:color w:val="666666"/>
          <w:sz w:val="20"/>
        </w:rPr>
        <w:t>Signed to Charm Industrial as First Gathering Point · annual (12-month validity)</w:t>
      </w:r>
    </w:p>
    <w:p/>
    <w:p>
      <w:pPr>
        <w:spacing w:before="160" w:after="40"/>
      </w:pPr>
      <w:r>
        <w:rPr>
          <w:b/>
          <w:color w:val="0F6E63"/>
          <w:sz w:val="21"/>
        </w:rPr>
        <w:t>1. Information about the Forest Sourcing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Address / postcode / location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Country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Contact person + phone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Geographically-defined sourcing area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(coordinates / polygons / parcels / map reference)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Tree species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Type of operation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(final felling / thinning / salvage / hazard-fuels reduction)</w:t>
            </w:r>
          </w:p>
        </w:tc>
      </w:tr>
    </w:tbl>
    <w:p>
      <w:pPr>
        <w:spacing w:before="160" w:after="40"/>
      </w:pPr>
      <w:r>
        <w:rPr>
          <w:b/>
          <w:color w:val="0F6E63"/>
          <w:sz w:val="21"/>
        </w:rPr>
        <w:t>2. Material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Forest biomass description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Estimated mass per delivery / period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9"/>
              </w:rPr>
              <w:t>Recipient (First Gathering Point)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Charm Industrial, Inc.</w:t>
            </w:r>
          </w:p>
        </w:tc>
      </w:tr>
    </w:tbl>
    <w:p>
      <w:pPr>
        <w:spacing w:before="200" w:after="60"/>
      </w:pPr>
      <w:r>
        <w:rPr>
          <w:b/>
          <w:color w:val="0F6E63"/>
          <w:sz w:val="21"/>
        </w:rPr>
        <w:t>3. By signing this self-declaration, the signatory confirms:</w:t>
      </w:r>
    </w:p>
    <w:p>
      <w:pPr>
        <w:spacing w:after="80"/>
        <w:ind w:left="360"/>
      </w:pPr>
      <w:r>
        <w:rPr>
          <w:b/>
          <w:sz w:val="19"/>
        </w:rPr>
        <w:t xml:space="preserve">1.  </w:t>
      </w:r>
      <w:r>
        <w:rPr>
          <w:sz w:val="19"/>
        </w:rPr>
        <w:t>Compliance with all applicable legal obligations and the relevant ISCC requirements.</w:t>
      </w:r>
    </w:p>
    <w:p>
      <w:pPr>
        <w:spacing w:after="80"/>
        <w:ind w:left="360"/>
      </w:pPr>
      <w:r>
        <w:rPr>
          <w:b/>
          <w:sz w:val="19"/>
        </w:rPr>
        <w:t xml:space="preserve">2.  </w:t>
      </w:r>
      <w:r>
        <w:rPr>
          <w:sz w:val="19"/>
        </w:rPr>
        <w:t>The forest biomass complies with ISCC Principle 1 as laid down in ISCC EU 202-3: legality of harvesting operations; forest regeneration; effective protection of areas designated for nature protection; maintenance of soil quality and biodiversity; maintenance of the long-term production capacity of the forest; and that it is NOT sourced from primary or old-growth forest, highly biodiverse forest/grassland, heathland, wetland or peatland (January 2008 cut-off).</w:t>
      </w:r>
    </w:p>
    <w:p>
      <w:pPr>
        <w:spacing w:after="80"/>
        <w:ind w:left="360"/>
      </w:pPr>
      <w:r>
        <w:rPr>
          <w:b/>
          <w:sz w:val="19"/>
        </w:rPr>
        <w:t xml:space="preserve">3.  </w:t>
      </w:r>
      <w:r>
        <w:rPr>
          <w:sz w:val="19"/>
        </w:rPr>
        <w:t>The forest biomass complies with the immediate requirements of ISCC Principles 2-6 as laid down in ISCC EU 202-4 (environmentally responsible production; safe working conditions; social/labour rights; compliance with laws and international treaties; good management practices).</w:t>
      </w:r>
    </w:p>
    <w:p>
      <w:pPr>
        <w:spacing w:after="80"/>
        <w:ind w:left="360"/>
      </w:pPr>
      <w:r>
        <w:rPr>
          <w:b/>
          <w:sz w:val="19"/>
        </w:rPr>
        <w:t xml:space="preserve">4.  </w:t>
      </w:r>
      <w:r>
        <w:rPr>
          <w:sz w:val="19"/>
        </w:rPr>
        <w:t>The type of raw material provided is ISCC compliant.</w:t>
      </w:r>
    </w:p>
    <w:p>
      <w:pPr>
        <w:spacing w:after="80"/>
        <w:ind w:left="360"/>
      </w:pPr>
      <w:r>
        <w:rPr>
          <w:b/>
          <w:sz w:val="19"/>
        </w:rPr>
        <w:t xml:space="preserve">5.  </w:t>
      </w:r>
      <w:r>
        <w:rPr>
          <w:sz w:val="19"/>
        </w:rPr>
        <w:t>Documentation of quantities and origin (forest management plan / harvest protocols / permits / maps) is available.</w:t>
      </w:r>
    </w:p>
    <w:p>
      <w:pPr>
        <w:spacing w:after="80"/>
        <w:ind w:left="360"/>
      </w:pPr>
      <w:r>
        <w:rPr>
          <w:b/>
          <w:sz w:val="19"/>
        </w:rPr>
        <w:t xml:space="preserve">6.  </w:t>
      </w:r>
      <w:r>
        <w:rPr>
          <w:sz w:val="19"/>
        </w:rPr>
        <w:t>The material is generated within the declared forest sourcing area.</w:t>
      </w:r>
    </w:p>
    <w:p>
      <w:pPr>
        <w:spacing w:after="80"/>
        <w:ind w:left="360"/>
      </w:pPr>
      <w:r>
        <w:rPr>
          <w:b/>
          <w:sz w:val="19"/>
        </w:rPr>
        <w:t xml:space="preserve">7.  </w:t>
      </w:r>
      <w:r>
        <w:rPr>
          <w:sz w:val="19"/>
        </w:rPr>
        <w:t>Auditors from certification bodies or from ISCC may examine on-site, or by contacting the signatory, whether the statements made in this self-declaration are correct.</w:t>
      </w:r>
    </w:p>
    <w:p>
      <w:pPr>
        <w:spacing w:after="80"/>
        <w:ind w:left="360"/>
      </w:pPr>
      <w:r>
        <w:rPr>
          <w:b/>
          <w:sz w:val="19"/>
        </w:rPr>
        <w:t xml:space="preserve">8.  </w:t>
      </w:r>
      <w:r>
        <w:rPr>
          <w:sz w:val="19"/>
        </w:rPr>
        <w:t>The information on this self-declaration may be forwarded to and reviewed by the certification body and by ISCC, which keep the data confidential.</w:t>
      </w:r>
    </w:p>
    <w:p>
      <w:pPr>
        <w:spacing w:after="80"/>
        <w:ind w:left="360"/>
      </w:pPr>
      <w:r>
        <w:rPr>
          <w:b/>
          <w:sz w:val="19"/>
        </w:rPr>
        <w:t xml:space="preserve">9.  </w:t>
      </w:r>
      <w:r>
        <w:rPr>
          <w:sz w:val="19"/>
        </w:rPr>
        <w:t>This self-declaration is valid for twelve (12) months from the date of signing.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Place, date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  <w:t>Signature</w:t>
            </w:r>
          </w:p>
        </w:tc>
      </w:tr>
    </w:tbl>
    <w:p>
      <w:r>
        <w:rPr>
          <w:i/>
          <w:color w:val="666666"/>
          <w:sz w:val="16"/>
        </w:rPr>
        <w:t>Source basis: form structure from the published ISCC Self-Declaration (Waste-Residue Point of Origin) v2.0; forest attestations from ISCC PLUS 203-1 §3.3.5, ISCC EU 202-3 §1.1 (Principle 1) and ISCC EU 202-4 (immediate requirements, Principles 2-6). Read this session.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