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D5D852" w14:textId="77777777" w:rsidR="008D3807" w:rsidRDefault="00000000">
      <w:pPr>
        <w:spacing w:after="160"/>
      </w:pPr>
      <w:r>
        <w:rPr>
          <w:b/>
          <w:sz w:val="34"/>
        </w:rPr>
        <w:t>MRV Analyst — Business Case</w:t>
      </w:r>
    </w:p>
    <w:p w14:paraId="42FC88D3" w14:textId="3416B92B" w:rsidR="008D3807" w:rsidRDefault="00000000">
      <w:r>
        <w:rPr>
          <w:b/>
          <w:sz w:val="26"/>
        </w:rPr>
        <w:t xml:space="preserve">What MRV </w:t>
      </w:r>
      <w:proofErr w:type="gramStart"/>
      <w:r>
        <w:rPr>
          <w:b/>
          <w:sz w:val="26"/>
        </w:rPr>
        <w:t>actually is</w:t>
      </w:r>
      <w:proofErr w:type="gramEnd"/>
      <w:r w:rsidR="00DC4410">
        <w:rPr>
          <w:b/>
          <w:sz w:val="26"/>
        </w:rPr>
        <w:t xml:space="preserve"> doing</w:t>
      </w:r>
    </w:p>
    <w:p w14:paraId="6D19CCDC" w14:textId="77777777" w:rsidR="008D3807" w:rsidRDefault="00000000">
      <w:pPr>
        <w:spacing w:after="120"/>
      </w:pPr>
      <w:r>
        <w:t>MRV has two dimensions, and they compete for the same two people.</w:t>
      </w:r>
    </w:p>
    <w:p w14:paraId="11D4F555" w14:textId="52946BF5" w:rsidR="008D3807" w:rsidRDefault="00000000">
      <w:pPr>
        <w:pStyle w:val="ListBullet"/>
      </w:pPr>
      <w:r>
        <w:rPr>
          <w:b/>
        </w:rPr>
        <w:t xml:space="preserve">Tactical — recognize more revenue faster through efficient verification. </w:t>
      </w:r>
      <w:r>
        <w:t xml:space="preserve">Three parts: (1) run the recognition machine — data gathering, management, and QA; (2) maintain and improve the machine — tooling and procedures; (3) manage the cross-functional teams who </w:t>
      </w:r>
      <w:r w:rsidR="00DD460F">
        <w:t xml:space="preserve">use and </w:t>
      </w:r>
      <w:r>
        <w:t>feed inputs into it.</w:t>
      </w:r>
    </w:p>
    <w:p w14:paraId="31D47673" w14:textId="02FC51B3" w:rsidR="008D3807" w:rsidRDefault="00000000">
      <w:pPr>
        <w:pStyle w:val="ListBullet"/>
      </w:pPr>
      <w:r>
        <w:rPr>
          <w:b/>
        </w:rPr>
        <w:t xml:space="preserve">Strategic — keep building Charm as the leader in high-integrity decarbonization. </w:t>
      </w:r>
      <w:r>
        <w:t>(1) Own the internal program for Isometric protocol compliance while driving favorable change; (2) work with MSE, GTM, and Development to build an MRV lens into how we assess and pursue new assets and opportunities; (3) integrate the new assets, methodologies, and compliance requirements that come out of that</w:t>
      </w:r>
      <w:r w:rsidR="00DC4410">
        <w:t xml:space="preserve"> process</w:t>
      </w:r>
      <w:r>
        <w:t>.</w:t>
      </w:r>
    </w:p>
    <w:p w14:paraId="3ED0F8F0" w14:textId="77777777" w:rsidR="008D3807" w:rsidRDefault="00000000">
      <w:r>
        <w:rPr>
          <w:b/>
          <w:sz w:val="26"/>
        </w:rPr>
        <w:t>Where we are today</w:t>
      </w:r>
    </w:p>
    <w:p w14:paraId="71EADCE3" w14:textId="7E2C82A0" w:rsidR="008D3807" w:rsidRDefault="00000000">
      <w:pPr>
        <w:spacing w:after="120"/>
      </w:pPr>
      <w:r>
        <w:t>We close production and bio-oil reporting every month, and biochar roughly every six</w:t>
      </w:r>
      <w:r w:rsidR="004909AD">
        <w:t xml:space="preserve"> (which will need to increase significantly with D+ Series)</w:t>
      </w:r>
      <w:r>
        <w:t xml:space="preserve">. Almost all of Garrett’s time goes to running the machine. Hitting our target of 10 business days to verify on monthly reporting means pushing data intake and QA as early in the month as possible — which leaves </w:t>
      </w:r>
      <w:r w:rsidR="004909AD">
        <w:t>little</w:t>
      </w:r>
      <w:r>
        <w:t xml:space="preserve"> room for </w:t>
      </w:r>
      <w:r w:rsidR="00DC4410">
        <w:t>recognition machine optimization and higher-level management.</w:t>
      </w:r>
      <w:r>
        <w:t xml:space="preserve"> </w:t>
      </w:r>
      <w:r w:rsidR="00DC4410">
        <w:t>So,</w:t>
      </w:r>
      <w:r>
        <w:t xml:space="preserve"> I cover those, which means the strategic work </w:t>
      </w:r>
      <w:r w:rsidR="004909AD">
        <w:t>is squeezed</w:t>
      </w:r>
      <w:r>
        <w:t xml:space="preserve">. </w:t>
      </w:r>
    </w:p>
    <w:p w14:paraId="5A28D82A" w14:textId="75CDD0B8" w:rsidR="008D3807" w:rsidRDefault="00000000">
      <w:r>
        <w:rPr>
          <w:b/>
          <w:sz w:val="26"/>
        </w:rPr>
        <w:t>Why this breaks as we scale</w:t>
      </w:r>
    </w:p>
    <w:p w14:paraId="6BF9AC15" w14:textId="39748CF6" w:rsidR="008D3807" w:rsidRDefault="00DC4410">
      <w:pPr>
        <w:spacing w:after="120"/>
      </w:pPr>
      <w:r>
        <w:t>The reporting load</w:t>
      </w:r>
      <w:r w:rsidR="00000000">
        <w:t xml:space="preserve"> scales with the </w:t>
      </w:r>
      <w:r w:rsidR="00000000">
        <w:rPr>
          <w:b/>
        </w:rPr>
        <w:t>number of reporting streams and how new each one is</w:t>
      </w:r>
      <w:r w:rsidR="00000000">
        <w:t>. An established project pushing 1,000 tonnes can be less work than a brand-new one pushing 100: the new one is its own permit, its own monitoring regime, its own project in Certify, its own monthly close, and its own onboarding curve. Each new well is a new recognition pipeline, not more oil through the old one.</w:t>
      </w:r>
    </w:p>
    <w:p w14:paraId="644B7FE3" w14:textId="78FD4D36" w:rsidR="008D3807" w:rsidRDefault="00000000">
      <w:pPr>
        <w:spacing w:after="120"/>
      </w:pPr>
      <w:r>
        <w:t xml:space="preserve">That’s exactly where we’re headed. Our own techno-economic model (TEA v2026.07x) already assumes </w:t>
      </w:r>
      <w:r>
        <w:rPr>
          <w:b/>
        </w:rPr>
        <w:t>~3 injection wells</w:t>
      </w:r>
      <w:r>
        <w:t xml:space="preserve"> are needed to support the near-term plan. The well pipeline backs it up: a western Kansas well slated to open in early 2027, Mississippi wells behind it, and a Frontier milestone to file permit applications in at least two new states by the end of 2026. We are going from one reporting stream to at least three.</w:t>
      </w:r>
    </w:p>
    <w:p w14:paraId="3F7614A3" w14:textId="25EC7FC8" w:rsidR="008D3807" w:rsidRDefault="00000000" w:rsidP="00DC4410">
      <w:pPr>
        <w:pStyle w:val="ListBullet"/>
        <w:numPr>
          <w:ilvl w:val="0"/>
          <w:numId w:val="0"/>
        </w:numPr>
      </w:pPr>
      <w:r>
        <w:t xml:space="preserve">At that point MRV becomes a revenue-recognition bottleneck. With a second well on in 2027, we can’t close both wells every month and stay inside our time-to-verify target. </w:t>
      </w:r>
      <w:r w:rsidR="00DC4410">
        <w:t>If that comes to pass without added capacity, the opportunity costs mount quickly: O</w:t>
      </w:r>
      <w:r w:rsidR="00DC4410">
        <w:t xml:space="preserve">ne well ≈ ~25,000 </w:t>
      </w:r>
      <w:proofErr w:type="spellStart"/>
      <w:r w:rsidR="00DC4410">
        <w:t>tonnes</w:t>
      </w:r>
      <w:proofErr w:type="spellEnd"/>
      <w:r w:rsidR="00DC4410">
        <w:t>/year of CDR</w:t>
      </w:r>
      <w:r w:rsidR="00DC4410">
        <w:t xml:space="preserve"> ramped</w:t>
      </w:r>
      <w:r w:rsidR="00DC4410">
        <w:t>; at ~$460/</w:t>
      </w:r>
      <w:proofErr w:type="spellStart"/>
      <w:r w:rsidR="00DC4410">
        <w:t>tonne</w:t>
      </w:r>
      <w:proofErr w:type="spellEnd"/>
      <w:r w:rsidR="00DC4410">
        <w:t xml:space="preserve"> (our BofA deal, and the model’s 2029 reference price) that’s on the order of ~$11.5M/year of recognizable revenue per well</w:t>
      </w:r>
      <w:r w:rsidR="00DC4410">
        <w:t>, just shy of $1m/month of revenue generation</w:t>
      </w:r>
      <w:r w:rsidR="0073588B">
        <w:t xml:space="preserve"> once each well is operating at capacity</w:t>
      </w:r>
      <w:r w:rsidR="00DC4410">
        <w:t xml:space="preserve">. If we </w:t>
      </w:r>
      <w:r w:rsidR="0073588B">
        <w:t>must</w:t>
      </w:r>
      <w:r w:rsidR="00DC4410">
        <w:t xml:space="preserve"> start </w:t>
      </w:r>
      <w:r w:rsidR="00DC4410">
        <w:lastRenderedPageBreak/>
        <w:t>staggering months due to constrained reporting capacity, we will find ourselves deferring the recognition of millions of dollars that would otherwise be on our books.</w:t>
      </w:r>
    </w:p>
    <w:p w14:paraId="28F8872D" w14:textId="7511BF55" w:rsidR="00DC4410" w:rsidRPr="000D1C1A" w:rsidRDefault="00DC4410" w:rsidP="00DC4410">
      <w:pPr>
        <w:pStyle w:val="ListBullet"/>
        <w:numPr>
          <w:ilvl w:val="0"/>
          <w:numId w:val="0"/>
        </w:numPr>
        <w:rPr>
          <w:sz w:val="10"/>
          <w:szCs w:val="10"/>
        </w:rPr>
      </w:pPr>
    </w:p>
    <w:p w14:paraId="4A1386B1" w14:textId="2D1CAD37" w:rsidR="00DC4410" w:rsidRDefault="00DC4410" w:rsidP="00DC4410">
      <w:pPr>
        <w:pStyle w:val="ListBullet"/>
        <w:numPr>
          <w:ilvl w:val="0"/>
          <w:numId w:val="0"/>
        </w:numPr>
      </w:pPr>
      <w:r>
        <w:t xml:space="preserve">In our current configuration, preventing the scenario above would require further constraining strategic MRV work, which </w:t>
      </w:r>
      <w:r w:rsidR="000D1C1A">
        <w:t xml:space="preserve">has its own costs. Significant strategic work is needed to, for example, develop new pathways to monetize the use of pyrolysis products in decarbonization. The opportunity costs of missing these opportunities are also massive: Amazon alone is proposing a 50m gal SAF attribute offtake by 2030, translating to $100-150m annual revenue at a proposed $2-3 premium. </w:t>
      </w:r>
      <w:r w:rsidR="0073588B">
        <w:t>This is just one example that illustrates the principle: Allowing MRV strategic bandwidth to be further constrained as reporting streams increase means forfeiting optionality that has massive upside</w:t>
      </w:r>
      <w:r w:rsidR="000D1C1A">
        <w:t>.</w:t>
      </w:r>
    </w:p>
    <w:p w14:paraId="30027DA5" w14:textId="77777777" w:rsidR="008D3807" w:rsidRDefault="00000000">
      <w:r>
        <w:rPr>
          <w:b/>
          <w:sz w:val="26"/>
        </w:rPr>
        <w:t>Automation is essential — and it is not a substitute for this hire</w:t>
      </w:r>
    </w:p>
    <w:p w14:paraId="6A9AE0E8" w14:textId="7458F97C" w:rsidR="008D3807" w:rsidRDefault="00000000">
      <w:pPr>
        <w:spacing w:after="120"/>
      </w:pPr>
      <w:r>
        <w:t xml:space="preserve">We will need automation and standardization to manage </w:t>
      </w:r>
      <w:r w:rsidR="000D1C1A">
        <w:t>Charm’s scaling</w:t>
      </w:r>
      <w:r>
        <w:t>. But Manufacturo taught us the lesson first-hand: standardization is indispensable, and building it is neither quick nor easy — especially for first-of-a-kind technology used by multi-functional, geographically distributed teams. It takes sustained focus and iteration. You cannot build the system that scales the machine while you are the machine.</w:t>
      </w:r>
      <w:r w:rsidR="000D1C1A">
        <w:t xml:space="preserve"> Ensuring the team has bandwidth for the profoundly human work of designing effective automated systems is a condition of, not an alternative to, deploying these technologies at scale. </w:t>
      </w:r>
    </w:p>
    <w:p w14:paraId="52B30670" w14:textId="77777777" w:rsidR="008D3807" w:rsidRDefault="00000000">
      <w:r>
        <w:rPr>
          <w:b/>
          <w:sz w:val="26"/>
        </w:rPr>
        <w:t>The answer: the MRV Analyst</w:t>
      </w:r>
    </w:p>
    <w:p w14:paraId="390ACE94" w14:textId="77777777" w:rsidR="008D3807" w:rsidRDefault="00000000">
      <w:pPr>
        <w:spacing w:after="120"/>
      </w:pPr>
      <w:r>
        <w:t>It lets everyone move up one level.</w:t>
      </w:r>
    </w:p>
    <w:p w14:paraId="6EA3E013" w14:textId="77777777" w:rsidR="008D3807" w:rsidRDefault="00000000">
      <w:pPr>
        <w:pStyle w:val="ListBullet"/>
      </w:pPr>
      <w:r>
        <w:rPr>
          <w:b/>
        </w:rPr>
        <w:t xml:space="preserve">The Analyst </w:t>
      </w:r>
      <w:r>
        <w:t>owns running the recognition machine day-to-day (Tactical 1).</w:t>
      </w:r>
    </w:p>
    <w:p w14:paraId="1FD830B7" w14:textId="77777777" w:rsidR="008D3807" w:rsidRDefault="00000000">
      <w:pPr>
        <w:pStyle w:val="ListBullet"/>
      </w:pPr>
      <w:r>
        <w:rPr>
          <w:b/>
        </w:rPr>
        <w:t xml:space="preserve">Garrett </w:t>
      </w:r>
      <w:r>
        <w:t>trains them on it, then reclaims the time to actually do Tactical 2 and 3 — improving the machine and managing the cross-functional inputs — the work that flattens the cost of every future well.</w:t>
      </w:r>
    </w:p>
    <w:p w14:paraId="43D1A10A" w14:textId="77777777" w:rsidR="008D3807" w:rsidRDefault="00000000">
      <w:pPr>
        <w:pStyle w:val="ListBullet"/>
      </w:pPr>
      <w:r>
        <w:rPr>
          <w:b/>
        </w:rPr>
        <w:t xml:space="preserve">Max </w:t>
      </w:r>
      <w:r>
        <w:t>reclaims the time for the strategic program: registry and protocol work, business development with an MRV lens, and integrating new assets and value chains.</w:t>
      </w:r>
    </w:p>
    <w:p w14:paraId="33340E0F" w14:textId="6F0C1BE1" w:rsidR="00416C8F" w:rsidRPr="00416C8F" w:rsidRDefault="00000000" w:rsidP="00416C8F">
      <w:pPr>
        <w:spacing w:after="120"/>
      </w:pPr>
      <w:r>
        <w:t xml:space="preserve">One hire converts two senior people from </w:t>
      </w:r>
      <w:r>
        <w:rPr>
          <w:b/>
        </w:rPr>
        <w:t>running</w:t>
      </w:r>
      <w:r>
        <w:t xml:space="preserve"> the recognition machine to </w:t>
      </w:r>
      <w:r>
        <w:rPr>
          <w:b/>
        </w:rPr>
        <w:t>widening</w:t>
      </w:r>
      <w:r>
        <w:t xml:space="preserve"> it.</w:t>
      </w:r>
    </w:p>
    <w:p w14:paraId="154A03DD" w14:textId="683E2591" w:rsidR="008D3807" w:rsidRDefault="00000000">
      <w:r>
        <w:rPr>
          <w:b/>
          <w:sz w:val="26"/>
        </w:rPr>
        <w:t>The ask, restated</w:t>
      </w:r>
    </w:p>
    <w:p w14:paraId="5382FF9D" w14:textId="681A356E" w:rsidR="008D3807" w:rsidRDefault="00000000">
      <w:pPr>
        <w:spacing w:after="120"/>
      </w:pPr>
      <w:r>
        <w:t>One MRV Analyst, $</w:t>
      </w:r>
      <w:r w:rsidR="00416C8F">
        <w:t>8</w:t>
      </w:r>
      <w:r>
        <w:t>0–1</w:t>
      </w:r>
      <w:r w:rsidR="00416C8F">
        <w:t>1</w:t>
      </w:r>
      <w:r>
        <w:t>0K — approved in time to hire and train before the second well comes online.</w:t>
      </w:r>
    </w:p>
    <w:sectPr w:rsidR="008D38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189111">
    <w:abstractNumId w:val="8"/>
  </w:num>
  <w:num w:numId="2" w16cid:durableId="1659383303">
    <w:abstractNumId w:val="6"/>
  </w:num>
  <w:num w:numId="3" w16cid:durableId="486946782">
    <w:abstractNumId w:val="5"/>
  </w:num>
  <w:num w:numId="4" w16cid:durableId="789084168">
    <w:abstractNumId w:val="4"/>
  </w:num>
  <w:num w:numId="5" w16cid:durableId="1892841403">
    <w:abstractNumId w:val="7"/>
  </w:num>
  <w:num w:numId="6" w16cid:durableId="1441224787">
    <w:abstractNumId w:val="3"/>
  </w:num>
  <w:num w:numId="7" w16cid:durableId="1291010996">
    <w:abstractNumId w:val="2"/>
  </w:num>
  <w:num w:numId="8" w16cid:durableId="581375299">
    <w:abstractNumId w:val="1"/>
  </w:num>
  <w:num w:numId="9" w16cid:durableId="7901306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C1A"/>
    <w:rsid w:val="0015074B"/>
    <w:rsid w:val="0029639D"/>
    <w:rsid w:val="00326F90"/>
    <w:rsid w:val="00416C8F"/>
    <w:rsid w:val="00422DE2"/>
    <w:rsid w:val="004909AD"/>
    <w:rsid w:val="0073588B"/>
    <w:rsid w:val="008D3807"/>
    <w:rsid w:val="00AA1D8D"/>
    <w:rsid w:val="00B47730"/>
    <w:rsid w:val="00CB0664"/>
    <w:rsid w:val="00DC4410"/>
    <w:rsid w:val="00DD46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B6271"/>
  <w14:defaultImageDpi w14:val="300"/>
  <w15:docId w15:val="{68C0924D-7ADA-8940-B685-07C2B6366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5</cp:revision>
  <dcterms:created xsi:type="dcterms:W3CDTF">2013-12-23T23:15:00Z</dcterms:created>
  <dcterms:modified xsi:type="dcterms:W3CDTF">2026-07-15T18:48:00Z</dcterms:modified>
  <cp:category/>
</cp:coreProperties>
</file>