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0"/>
        </w:rPr>
        <w:t>New-Generation Pyrolyzer Commissioning</w:t>
      </w:r>
    </w:p>
    <w:p>
      <w:pPr>
        <w:spacing w:after="200"/>
      </w:pPr>
      <w:r>
        <w:rPr>
          <w:i/>
          <w:color w:val="666666"/>
          <w:sz w:val="24"/>
        </w:rPr>
        <w:t>MRV work plan — everything that must close before the new units produce creditable removals</w:t>
      </w:r>
    </w:p>
    <w:p>
      <w:pPr>
        <w:spacing w:after="20"/>
      </w:pPr>
      <w:r>
        <w:rPr>
          <w:b/>
          <w:color w:val="1F3864"/>
          <w:sz w:val="19"/>
        </w:rPr>
        <w:t xml:space="preserve">Prepared by:  </w:t>
      </w:r>
      <w:r>
        <w:rPr>
          <w:color w:val="666666"/>
          <w:sz w:val="19"/>
        </w:rPr>
        <w:t>Max Lavine, Carbon Protocol &amp; Verification Lead — Charm Industrial</w:t>
      </w:r>
    </w:p>
    <w:p>
      <w:pPr>
        <w:spacing w:after="20"/>
      </w:pPr>
      <w:r>
        <w:rPr>
          <w:b/>
          <w:color w:val="1F3864"/>
          <w:sz w:val="19"/>
        </w:rPr>
        <w:t xml:space="preserve">Scope:  </w:t>
      </w:r>
      <w:r>
        <w:rPr>
          <w:color w:val="666666"/>
          <w:sz w:val="19"/>
        </w:rPr>
        <w:t>Charm-produced streams from the new pyrolyzer generation — bio-oil (WODO / Aqueous) and biochar</w:t>
      </w:r>
    </w:p>
    <w:p>
      <w:pPr>
        <w:spacing w:after="20"/>
      </w:pPr>
      <w:r>
        <w:rPr>
          <w:b/>
          <w:color w:val="1F3864"/>
          <w:sz w:val="19"/>
        </w:rPr>
        <w:t xml:space="preserve">Protocol basis (target):  </w:t>
      </w:r>
      <w:r>
        <w:rPr>
          <w:color w:val="666666"/>
          <w:sz w:val="19"/>
        </w:rPr>
        <w:t>Bio-oil Geological Storage v1.2, Biochar Production and Storage v1.2, Biochar Storage in Soil Environments v1.2</w:t>
      </w:r>
    </w:p>
    <w:p>
      <w:pPr>
        <w:spacing w:after="20"/>
      </w:pPr>
      <w:r>
        <w:rPr>
          <w:b/>
          <w:color w:val="1F3864"/>
          <w:sz w:val="19"/>
        </w:rPr>
        <w:t xml:space="preserve">PDD reviewed:  </w:t>
      </w:r>
      <w:r>
        <w:rPr>
          <w:color w:val="666666"/>
          <w:sz w:val="19"/>
        </w:rPr>
        <w:t>Charm PDD v1.12 (Bio-Oil Geologic Storage + Range &amp; Plains Biochar), incl. Appendix 11</w:t>
      </w:r>
    </w:p>
    <w:p>
      <w:pPr>
        <w:spacing w:after="20"/>
      </w:pPr>
      <w:r>
        <w:rPr>
          <w:b/>
          <w:color w:val="1F3864"/>
          <w:sz w:val="19"/>
        </w:rPr>
        <w:t xml:space="preserve">Verifier:  </w:t>
      </w:r>
      <w:r>
        <w:rPr>
          <w:color w:val="666666"/>
          <w:sz w:val="19"/>
        </w:rPr>
        <w:t>350Solutions (VVB) / Isometric</w:t>
      </w:r>
    </w:p>
    <w:p>
      <w:pPr>
        <w:spacing w:after="20"/>
      </w:pPr>
      <w:r>
        <w:rPr>
          <w:b/>
          <w:color w:val="1F3864"/>
          <w:sz w:val="19"/>
        </w:rPr>
        <w:t xml:space="preserve">Status:  </w:t>
      </w:r>
      <w:r>
        <w:rPr>
          <w:color w:val="666666"/>
          <w:sz w:val="19"/>
        </w:rPr>
        <w:t>Draft plan for review — owners and dates to be assigned</w:t>
      </w:r>
    </w:p>
    <w:p>
      <w:pPr>
        <w:spacing w:after="80"/>
        <w:pBdr>
          <w:bottom w:val="single" w:sz="6" w:space="1" w:color="BBBBBB"/>
        </w:pBdr>
      </w:pPr>
    </w:p>
    <w:p>
      <w:pPr>
        <w:spacing w:after="80"/>
      </w:pPr>
      <w:r>
        <w:rPr>
          <w:i/>
          <w:color w:val="666666"/>
          <w:sz w:val="18"/>
        </w:rPr>
        <w:t>Citation note: every protocol requirement and PDD passage quoted below was read directly this session — the v1.2 protocol and storage-module PDFs, and PDD v1.12 including its tables and Appendix 11. Section numbers are from those documents. Owners, dates, and durations are left blank for assignment; none are invented.</w:t>
      </w:r>
    </w:p>
    <w:p>
      <w:pPr>
        <w:keepNext/>
        <w:spacing w:before="280" w:after="80"/>
        <w:shd w:val="clear" w:color="auto" w:fill="D6E4F0"/>
        <w:ind w:left="80"/>
      </w:pPr>
      <w:r>
        <w:rPr>
          <w:b/>
          <w:color w:val="1F3864"/>
          <w:sz w:val="28"/>
        </w:rPr>
        <w:t>1.  The one thing to hold onto</w:t>
      </w:r>
    </w:p>
    <w:p>
      <w:pPr>
        <w:spacing w:after="120"/>
      </w:pPr>
      <w:r>
        <w:rPr>
          <w:b w:val="0"/>
        </w:rPr>
        <w:t xml:space="preserve">A new generation of pyrolyzers is, in Isometric's terms, a </w:t>
      </w:r>
      <w:r>
        <w:rPr>
          <w:b/>
        </w:rPr>
        <w:t>material change to the Production Process</w:t>
      </w:r>
      <w:r>
        <w:rPr>
          <w:b w:val="0"/>
        </w:rPr>
        <w:t xml:space="preserve"> — and both the production protocols and the biochar storage module hang requirements directly off that. Until the items below close, </w:t>
      </w:r>
      <w:r>
        <w:rPr>
          <w:b/>
        </w:rPr>
        <w:t>nothing the new units produce is creditable</w:t>
      </w:r>
      <w:r>
        <w:rPr>
          <w:b w:val="0"/>
        </w:rPr>
        <w:t xml:space="preserve"> on either pathway:</w:t>
      </w:r>
    </w:p>
    <w:p>
      <w:pPr>
        <w:pStyle w:val="ListBullet"/>
        <w:spacing w:after="40"/>
      </w:pPr>
      <w:r>
        <w:rPr>
          <w:b w:val="0"/>
        </w:rPr>
      </w:r>
      <w:r>
        <w:rPr>
          <w:b/>
        </w:rPr>
        <w:t>The reactor design must be re-validated.</w:t>
      </w:r>
      <w:r>
        <w:rPr>
          <w:b w:val="0"/>
        </w:rPr>
        <w:t xml:space="preserve"> New design diagrams, materials justification, and a maintenance plan go into the Project Design Document (the “PDD”). The current PDD (v1.12, Appendix 11) describes a specific reactor that the new generation will supersede.</w:t>
      </w:r>
    </w:p>
    <w:p>
      <w:pPr>
        <w:pStyle w:val="ListBullet"/>
        <w:spacing w:after="40"/>
      </w:pPr>
      <w:r>
        <w:rPr>
          <w:b w:val="0"/>
        </w:rPr>
      </w:r>
      <w:r>
        <w:rPr>
          <w:b/>
        </w:rPr>
        <w:t>All carbon-content characterization resets to zero.</w:t>
      </w:r>
      <w:r>
        <w:rPr>
          <w:b w:val="0"/>
        </w:rPr>
        <w:t xml:space="preserve"> Prior samples cannot be carried forward; sampling restarts under the every-batch method until a new baseline is built.</w:t>
      </w:r>
    </w:p>
    <w:p>
      <w:pPr>
        <w:pStyle w:val="ListBullet"/>
        <w:spacing w:after="40"/>
      </w:pPr>
      <w:r>
        <w:rPr>
          <w:b w:val="0"/>
        </w:rPr>
      </w:r>
      <w:r>
        <w:rPr>
          <w:b/>
        </w:rPr>
        <w:t>The one-time biochar characterization re-runs.</w:t>
      </w:r>
      <w:r>
        <w:rPr>
          <w:b w:val="0"/>
        </w:rPr>
        <w:t xml:space="preserve"> The storage module requires a long list of parameters be re-measured whenever “feedstock, reactor or process parameters change” — a new generation is exactly that trigger.</w:t>
      </w:r>
    </w:p>
    <w:p>
      <w:pPr>
        <w:pStyle w:val="ListBullet"/>
        <w:spacing w:after="40"/>
      </w:pPr>
      <w:r>
        <w:rPr>
          <w:b w:val="0"/>
        </w:rPr>
      </w:r>
      <w:r>
        <w:rPr>
          <w:b/>
        </w:rPr>
        <w:t>Prior stack / emissions testing is void.</w:t>
      </w:r>
      <w:r>
        <w:rPr>
          <w:b w:val="0"/>
        </w:rPr>
        <w:t xml:space="preserve"> A representative test needs pyrolysis temperature and feedstock within ±10% of test conditions; a new generation breaks that, so each feedstock is re-tested on the new units.</w:t>
      </w:r>
    </w:p>
    <w:p>
      <w:pPr>
        <w:pStyle w:val="ListBullet"/>
        <w:spacing w:after="40"/>
      </w:pPr>
      <w:r>
        <w:rPr>
          <w:b w:val="0"/>
        </w:rPr>
      </w:r>
      <w:r>
        <w:rPr>
          <w:b/>
        </w:rPr>
        <w:t>A brand-new obligation appears on the bio-oil side.</w:t>
      </w:r>
      <w:r>
        <w:rPr>
          <w:b w:val="0"/>
        </w:rPr>
        <w:t xml:space="preserve"> Bio-oil Geological Storage v1.2 added a direct-emissions / tailgas requirement (methane in the pyrolysis gas) absent from v1.1.</w:t>
      </w:r>
    </w:p>
    <w:p>
      <w:pPr>
        <w:pStyle w:val="ListBullet"/>
        <w:spacing w:after="40"/>
      </w:pPr>
      <w:r>
        <w:rPr>
          <w:b w:val="0"/>
        </w:rPr>
      </w:r>
      <w:r>
        <w:rPr>
          <w:b/>
        </w:rPr>
        <w:t>The dry-storage exemption falls away.</w:t>
      </w:r>
      <w:r>
        <w:rPr>
          <w:b w:val="0"/>
        </w:rPr>
        <w:t xml:space="preserve"> The char no longer passes the Fauske self-heating test, so the storage module's default wet-storage requirement (§7.3) applies again.</w:t>
      </w:r>
    </w:p>
    <w:p>
      <w:pPr>
        <w:spacing w:after="120"/>
      </w:pPr>
      <w:r>
        <w:rPr>
          <w:b w:val="0"/>
        </w:rPr>
        <w:t xml:space="preserve">On top of those, the new units change </w:t>
      </w:r>
      <w:r>
        <w:rPr>
          <w:b/>
        </w:rPr>
        <w:t>energy use, the equipment inventory, and the yield split</w:t>
      </w:r>
      <w:r>
        <w:rPr>
          <w:b w:val="0"/>
        </w:rPr>
        <w:t xml:space="preserve"> between bio-oil, biochar and gas — re-opening the process emission factor, the embodied-emissions model, and co-product allocation for </w:t>
      </w:r>
      <w:r>
        <w:rPr>
          <w:b/>
        </w:rPr>
        <w:t>both</w:t>
      </w:r>
      <w:r>
        <w:rPr>
          <w:b w:val="0"/>
        </w:rPr>
        <w:t xml:space="preserve"> pathways (Section 5).</w:t>
      </w:r>
    </w:p>
    <w:p>
      <w:pPr>
        <w:spacing w:before="80" w:after="120"/>
        <w:ind w:left="120" w:right="120"/>
        <w:shd w:val="clear" w:color="auto" w:fill="FBE9E7"/>
      </w:pPr>
      <w:r>
        <w:rPr>
          <w:b/>
          <w:color w:val="9C2714"/>
          <w:sz w:val="20"/>
        </w:rPr>
        <w:t xml:space="preserve">⚠ GO / NO-GO  </w:t>
      </w:r>
      <w:r>
        <w:rPr>
          <w:b w:val="0"/>
          <w:sz w:val="20"/>
        </w:rPr>
        <w:t xml:space="preserve">The new-generation char must still meet the storage module's durability thresholds — </w:t>
      </w:r>
      <w:r>
        <w:rPr>
          <w:b/>
          <w:sz w:val="20"/>
        </w:rPr>
        <w:t>molar H/C_org &lt; 0.5 and molar O/C_org &lt; 0.2</w:t>
      </w:r>
      <w:r>
        <w:rPr>
          <w:b w:val="0"/>
          <w:sz w:val="20"/>
        </w:rPr>
        <w:t xml:space="preserve"> (Biochar Storage in Soil Environments v1.2, Table 2). If the new char comes in at or above either, it is not creditable under this module. Characterize early enough to know this before committing production.</w:t>
      </w:r>
    </w:p>
    <w:p>
      <w:pPr>
        <w:keepNext/>
        <w:spacing w:before="280" w:after="80"/>
        <w:shd w:val="clear" w:color="auto" w:fill="D6E4F0"/>
        <w:ind w:left="80"/>
      </w:pPr>
      <w:r>
        <w:rPr>
          <w:b/>
          <w:color w:val="1F3864"/>
          <w:sz w:val="28"/>
        </w:rPr>
        <w:t>2.  Gate 0 — the version-adoption decision (settle this first)</w:t>
      </w:r>
    </w:p>
    <w:p>
      <w:pPr>
        <w:spacing w:after="120"/>
      </w:pPr>
      <w:r>
        <w:rPr>
          <w:b w:val="0"/>
        </w:rPr>
        <w:t xml:space="preserve">This plan is built to the </w:t>
      </w:r>
      <w:r>
        <w:rPr>
          <w:b/>
        </w:rPr>
        <w:t>v1.2</w:t>
      </w:r>
      <w:r>
        <w:rPr>
          <w:b w:val="0"/>
        </w:rPr>
        <w:t xml:space="preserve"> versions, as agreed. Two points to settle before work starts:</w:t>
      </w:r>
    </w:p>
    <w:p>
      <w:pPr>
        <w:pStyle w:val="ListBullet"/>
        <w:spacing w:after="40"/>
      </w:pPr>
      <w:r>
        <w:rPr>
          <w:b w:val="0"/>
        </w:rPr>
      </w:r>
      <w:r>
        <w:rPr>
          <w:b/>
        </w:rPr>
        <w:t>Adoption timing.</w:t>
      </w:r>
      <w:r>
        <w:rPr>
          <w:b w:val="0"/>
        </w:rPr>
        <w:t xml:space="preserve"> Adopting a new protocol version normally lines up with crediting-period renewal, not mid-period. Commissioning is a natural moment to move to v1.2, but the timing decides whether the new bio-oil tailgas requirement (Workstream D2) is in scope now or later.</w:t>
      </w:r>
    </w:p>
    <w:p>
      <w:pPr>
        <w:pStyle w:val="ListBullet"/>
        <w:spacing w:after="40"/>
      </w:pPr>
      <w:r>
        <w:rPr>
          <w:b w:val="0"/>
        </w:rPr>
      </w:r>
      <w:r>
        <w:rPr>
          <w:b/>
        </w:rPr>
        <w:t>Re-validation is triggered regardless of version.</w:t>
      </w:r>
      <w:r>
        <w:rPr>
          <w:b w:val="0"/>
        </w:rPr>
        <w:t xml:space="preserve"> The reactor re-validation, the characterization reset, and the emissions re-testing all flow from the change to the production process itself.</w:t>
      </w:r>
    </w:p>
    <w:p>
      <w:pPr>
        <w:pStyle w:val="ListBullet"/>
        <w:spacing w:after="40"/>
      </w:pPr>
      <w:r>
        <w:rPr>
          <w:b w:val="0"/>
        </w:rPr>
      </w:r>
      <w:r>
        <w:rPr>
          <w:b/>
        </w:rPr>
        <w:t>Confirm this is a design change, not a like-for-like rebuild.</w:t>
      </w:r>
      <w:r>
        <w:rPr>
          <w:b w:val="0"/>
        </w:rPr>
        <w:t xml:space="preserve"> Biochar v1.2 §9.2.1 exempts you from resubmitting design diagrams only if the new vessels are built to the same diagrams as the original validation — which “new generation” almost certainly is not.</w:t>
      </w:r>
    </w:p>
    <w:p>
      <w:pPr>
        <w:spacing w:before="60" w:after="40"/>
        <w:ind w:left="280" w:right="160"/>
        <w:shd w:val="clear" w:color="auto" w:fill="F2F5FA"/>
      </w:pPr>
      <w:r>
        <w:rPr>
          <w:i/>
          <w:sz w:val="20"/>
        </w:rPr>
        <w:t>“In cases where the design of the reactor vessel differs to that from the original project validation, submission of updated design diagram documentation is required.”</w:t>
      </w:r>
    </w:p>
    <w:p>
      <w:pPr>
        <w:spacing w:after="120"/>
        <w:ind w:left="280"/>
      </w:pPr>
      <w:r>
        <w:rPr>
          <w:color w:val="666666"/>
          <w:sz w:val="18"/>
        </w:rPr>
        <w:t>— Biochar Production and Storage v1.2, §9.2.1</w:t>
      </w:r>
    </w:p>
    <w:p>
      <w:pPr>
        <w:keepNext/>
        <w:spacing w:before="280" w:after="80"/>
        <w:shd w:val="clear" w:color="auto" w:fill="D6E4F0"/>
        <w:ind w:left="80"/>
      </w:pPr>
      <w:r>
        <w:rPr>
          <w:b/>
          <w:color w:val="1F3864"/>
          <w:sz w:val="28"/>
        </w:rPr>
        <w:t>3.  Workstreams</w:t>
      </w:r>
    </w:p>
    <w:p>
      <w:pPr>
        <w:spacing w:after="120"/>
      </w:pPr>
      <w:r>
        <w:rPr>
          <w:b w:val="0"/>
        </w:rPr>
        <w:t>Each lists its objective, the protocol requirement it answers (quoted), the tasks, dependencies, and evidence. Owner / date / gate lines are placeholders for you to assign.</w:t>
      </w:r>
    </w:p>
    <w:p>
      <w:pPr>
        <w:keepNext/>
        <w:spacing w:before="200" w:after="40"/>
      </w:pPr>
      <w:r>
        <w:rPr>
          <w:b/>
          <w:color w:val="1F3864"/>
          <w:sz w:val="23"/>
        </w:rPr>
        <w:t>A.  PDD rewrite &amp; reactor re-validation  (your note #3)</w:t>
      </w:r>
    </w:p>
    <w:p>
      <w:pPr>
        <w:spacing w:after="120"/>
      </w:pPr>
      <w:r>
        <w:rPr>
          <w:b w:val="0"/>
        </w:rPr>
      </w:r>
      <w:r>
        <w:rPr>
          <w:b/>
        </w:rPr>
        <w:t>Objective:</w:t>
      </w:r>
      <w:r>
        <w:rPr>
          <w:b w:val="0"/>
        </w:rPr>
        <w:t xml:space="preserve"> Update every part of the PDD that describes the pyrolyzer, and produce the reactor documentation Isometric validates against.</w:t>
      </w:r>
    </w:p>
    <w:p>
      <w:pPr>
        <w:spacing w:before="60" w:after="40"/>
        <w:ind w:left="280" w:right="160"/>
        <w:shd w:val="clear" w:color="auto" w:fill="F2F5FA"/>
      </w:pPr>
      <w:r>
        <w:rPr>
          <w:i/>
          <w:sz w:val="20"/>
        </w:rPr>
        <w:t>“This Protocol does not explicitly specify the type of reactor or technology level required, Project Proponents must be able to meet the monitoring requirements set out below and reactor designs, including the reactor type, expected materials specifications and engineering design diagrams must be described in the PDD.”</w:t>
      </w:r>
    </w:p>
    <w:p>
      <w:pPr>
        <w:spacing w:after="120"/>
        <w:ind w:left="280"/>
      </w:pPr>
      <w:r>
        <w:rPr>
          <w:color w:val="666666"/>
          <w:sz w:val="18"/>
        </w:rPr>
        <w:t>— Biochar Production and Storage v1.2, §9.1</w:t>
      </w:r>
    </w:p>
    <w:p>
      <w:pPr>
        <w:keepNext/>
        <w:spacing w:before="120" w:after="20"/>
      </w:pPr>
      <w:r>
        <w:rPr>
          <w:b/>
          <w:color w:val="1F3864"/>
          <w:sz w:val="21"/>
        </w:rPr>
        <w:t>A1 — New reactor documentation</w:t>
      </w:r>
    </w:p>
    <w:p>
      <w:pPr>
        <w:pStyle w:val="ListBullet"/>
        <w:spacing w:after="40"/>
      </w:pPr>
      <w:r>
        <w:rPr>
          <w:b w:val="0"/>
        </w:rPr>
        <w:t>Updated engineering design diagram(s) — reactor dimensions and layout, material inflows/outflows, temperature and pressure sensor positions, internal equipment, external heat-transfer equipment (§9.2.1). This replaces PDD Figures 1a and 1b.</w:t>
      </w:r>
    </w:p>
    <w:p>
      <w:pPr>
        <w:pStyle w:val="ListBullet"/>
        <w:spacing w:after="40"/>
      </w:pPr>
      <w:r>
        <w:rPr>
          <w:b w:val="0"/>
        </w:rPr>
        <w:t>Materials-selection section with a thermal/mechanical-resilience justification for each reactor component (§9.2.2). The current PDD justifies “A36 grade steel weldment lined internally with ceramic… max temperature of 800C” — the new generation's materials and temperature envelope must be re-stated and re-justified.</w:t>
      </w:r>
    </w:p>
    <w:p>
      <w:pPr>
        <w:pStyle w:val="ListBullet"/>
        <w:spacing w:after="40"/>
      </w:pPr>
      <w:r>
        <w:rPr>
          <w:b w:val="0"/>
        </w:rPr>
        <w:t>Pressure regime: the current PDD claims pressure-vessel rules do not apply because the reactor runs sub-atmospheric (-2 to -1.2 millibar). If the new generation runs at or above 0.5 Bar over ambient, §9.2.2 pressure-vessel requirements (range/limits, vessel shape/size, inlet/outlet positioning, 2014/68/EU or equivalent) now apply — re-confirm.</w:t>
      </w:r>
    </w:p>
    <w:p>
      <w:pPr>
        <w:pStyle w:val="ListBullet"/>
        <w:spacing w:after="40"/>
      </w:pPr>
      <w:r>
        <w:rPr>
          <w:b w:val="0"/>
        </w:rPr>
        <w:t>Reactor maintenance plan (§9.2.3) — the current PDD describes a “hotflow”/“turnaround” cycle and a 5-year design life; restate for the new units.</w:t>
      </w:r>
    </w:p>
    <w:p>
      <w:pPr>
        <w:keepNext/>
        <w:spacing w:before="120" w:after="20"/>
      </w:pPr>
      <w:r>
        <w:rPr>
          <w:b/>
          <w:color w:val="1F3864"/>
          <w:sz w:val="21"/>
        </w:rPr>
        <w:t>A2 — PDD update register (the specific spots in v1.12 to re-do)</w:t>
      </w:r>
    </w:p>
    <w:p>
      <w:pPr>
        <w:spacing w:after="120"/>
      </w:pPr>
      <w:r>
        <w:rPr>
          <w:b w:val="0"/>
        </w:rPr>
        <w:t>These are the passages in PDD v1.12 that carry pyrolyzer specifics and must change for the new generation, on both the bio-oil and biochar sides:</w:t>
      </w:r>
    </w:p>
    <w:tbl>
      <w:tblPr>
        <w:tblStyle w:val="TableGrid"/>
        <w:tblW w:type="auto" w:w="0"/>
        <w:tblLook w:firstColumn="1" w:firstRow="1" w:lastColumn="0" w:lastRow="0" w:noHBand="0" w:noVBand="1" w:val="04A0"/>
      </w:tblPr>
      <w:tblGrid>
        <w:gridCol w:w="2880"/>
        <w:gridCol w:w="2880"/>
        <w:gridCol w:w="2880"/>
      </w:tblGrid>
      <w:tr>
        <w:tc>
          <w:tcPr>
            <w:tcW w:type="dxa" w:w="2880"/>
          </w:tcPr>
          <w:p>
            <w:pPr>
              <w:shd w:val="clear" w:color="auto" w:fill="D6E4F0"/>
            </w:pPr>
            <w:r>
              <w:rPr>
                <w:b/>
                <w:color w:val="1F3864"/>
                <w:sz w:val="18"/>
              </w:rPr>
              <w:t>PDD location</w:t>
            </w:r>
          </w:p>
        </w:tc>
        <w:tc>
          <w:tcPr>
            <w:tcW w:type="dxa" w:w="2880"/>
          </w:tcPr>
          <w:p>
            <w:pPr>
              <w:shd w:val="clear" w:color="auto" w:fill="D6E4F0"/>
            </w:pPr>
            <w:r>
              <w:rPr>
                <w:b/>
                <w:color w:val="1F3864"/>
                <w:sz w:val="18"/>
              </w:rPr>
              <w:t>What it says now (v1.12)</w:t>
            </w:r>
          </w:p>
        </w:tc>
        <w:tc>
          <w:tcPr>
            <w:tcW w:type="dxa" w:w="2880"/>
          </w:tcPr>
          <w:p>
            <w:pPr>
              <w:shd w:val="clear" w:color="auto" w:fill="D6E4F0"/>
            </w:pPr>
            <w:r>
              <w:rPr>
                <w:b/>
                <w:color w:val="1F3864"/>
                <w:sz w:val="18"/>
              </w:rPr>
              <w:t>Update required for the new generation</w:t>
            </w:r>
          </w:p>
        </w:tc>
      </w:tr>
      <w:tr>
        <w:tc>
          <w:tcPr>
            <w:tcW w:type="dxa" w:w="2880"/>
          </w:tcPr>
          <w:p>
            <w:pPr>
              <w:spacing w:after="40"/>
            </w:pPr>
            <w:r>
              <w:rPr>
                <w:b/>
                <w:i w:val="0"/>
                <w:sz w:val="17"/>
              </w:rPr>
              <w:t>Appendix 11 — Pyrolysis reactor technical description</w:t>
            </w:r>
          </w:p>
        </w:tc>
        <w:tc>
          <w:tcPr>
            <w:tcW w:type="dxa" w:w="2880"/>
          </w:tcPr>
          <w:p>
            <w:pPr>
              <w:spacing w:after="40"/>
            </w:pPr>
            <w:r>
              <w:rPr>
                <w:i/>
                <w:sz w:val="17"/>
              </w:rPr>
              <w:t>“Reactor type: Updraft gasifier (fixed bed continuous operation)… Scale: 83kg of biomass consumed per hour of operation per machine… A36 grade steel weldment lined internally with ceramic. It operates at a max temperature of 800C… sub-atmospheric… (-2 to -1.2 millibar)… designed for 5 years… non-condensable pyrolysis gasses are co-fired with propane.” Figures 1a &amp; 1b.</w:t>
            </w:r>
          </w:p>
        </w:tc>
        <w:tc>
          <w:tcPr>
            <w:tcW w:type="dxa" w:w="2880"/>
          </w:tcPr>
          <w:p>
            <w:pPr>
              <w:spacing w:after="40"/>
            </w:pPr>
            <w:r>
              <w:rPr>
                <w:i w:val="0"/>
                <w:sz w:val="17"/>
              </w:rPr>
              <w:t>Replace the entire specification for the new generation: reactor type, throughput/scale, materials and max temperature, pressure regime (and whether pressure-vessel rules now apply), sensor set and calibration, hotflow/turnaround cycle, and design life. Redraw Figures 1a (design + sensor locations) and 1b (reactor subsystem).</w:t>
            </w:r>
          </w:p>
        </w:tc>
      </w:tr>
      <w:tr>
        <w:tc>
          <w:tcPr>
            <w:tcW w:type="dxa" w:w="2880"/>
          </w:tcPr>
          <w:p>
            <w:pPr>
              <w:spacing w:after="40"/>
            </w:pPr>
            <w:r>
              <w:rPr>
                <w:b/>
                <w:i w:val="0"/>
                <w:sz w:val="17"/>
              </w:rPr>
              <w:t>Appendix 11 — Reactor Design Requirements checklist (the prompt Charm answers)</w:t>
            </w:r>
          </w:p>
        </w:tc>
        <w:tc>
          <w:tcPr>
            <w:tcW w:type="dxa" w:w="2880"/>
          </w:tcPr>
          <w:p>
            <w:pPr>
              <w:spacing w:after="40"/>
            </w:pPr>
            <w:r>
              <w:rPr>
                <w:i/>
                <w:sz w:val="17"/>
              </w:rPr>
              <w:t>Asks for “Reactor type and equipment, Engineering design including sensors, dimensions, process flow diagrams, pressure and temperature measurements, heat transfer or cooling equipment and material selection, Scale and production rate, Final products… Flue gas emissions, leakage losses, Maintenance plan.”</w:t>
            </w:r>
          </w:p>
        </w:tc>
        <w:tc>
          <w:tcPr>
            <w:tcW w:type="dxa" w:w="2880"/>
          </w:tcPr>
          <w:p>
            <w:pPr>
              <w:spacing w:after="40"/>
            </w:pPr>
            <w:r>
              <w:rPr>
                <w:i w:val="0"/>
                <w:sz w:val="17"/>
              </w:rPr>
              <w:t>Re-answer every element of this checklist for the new generation — it is the biochar-side reactor-design evidence Isometric validates.</w:t>
            </w:r>
          </w:p>
        </w:tc>
      </w:tr>
      <w:tr>
        <w:tc>
          <w:tcPr>
            <w:tcW w:type="dxa" w:w="2880"/>
          </w:tcPr>
          <w:p>
            <w:pPr>
              <w:spacing w:after="40"/>
            </w:pPr>
            <w:r>
              <w:rPr>
                <w:b/>
                <w:i w:val="0"/>
                <w:sz w:val="17"/>
              </w:rPr>
              <w:t>Section A — Project description / Locations of Pyrolysis</w:t>
            </w:r>
          </w:p>
        </w:tc>
        <w:tc>
          <w:tcPr>
            <w:tcW w:type="dxa" w:w="2880"/>
          </w:tcPr>
          <w:p>
            <w:pPr>
              <w:spacing w:after="40"/>
            </w:pPr>
            <w:r>
              <w:rPr>
                <w:i/>
                <w:sz w:val="17"/>
              </w:rPr>
              <w:t>“Charm produces bio-oil at its pyrolysis facility in Fort Lupton, CO…”; the pyrolysis-locations list and R+D-since-2022 / throughput narrative.</w:t>
            </w:r>
          </w:p>
        </w:tc>
        <w:tc>
          <w:tcPr>
            <w:tcW w:type="dxa" w:w="2880"/>
          </w:tcPr>
          <w:p>
            <w:pPr>
              <w:spacing w:after="40"/>
            </w:pPr>
            <w:r>
              <w:rPr>
                <w:i w:val="0"/>
                <w:sz w:val="17"/>
              </w:rPr>
              <w:t>Update the facility description, scale/throughput, and any location change to reflect the new units.</w:t>
            </w:r>
          </w:p>
        </w:tc>
      </w:tr>
      <w:tr>
        <w:tc>
          <w:tcPr>
            <w:tcW w:type="dxa" w:w="2880"/>
          </w:tcPr>
          <w:p>
            <w:pPr>
              <w:spacing w:after="40"/>
            </w:pPr>
            <w:r>
              <w:rPr>
                <w:b/>
                <w:i w:val="0"/>
                <w:sz w:val="17"/>
              </w:rPr>
              <w:t>Section B — SSR row: Stack Emissions from Biomass Pyrolysis – Charm</w:t>
            </w:r>
          </w:p>
        </w:tc>
        <w:tc>
          <w:tcPr>
            <w:tcW w:type="dxa" w:w="2880"/>
          </w:tcPr>
          <w:p>
            <w:pPr>
              <w:spacing w:after="40"/>
            </w:pPr>
            <w:r>
              <w:rPr>
                <w:i/>
                <w:sz w:val="17"/>
              </w:rPr>
              <w:t>“For each type of feedstock processed, Charm has a tail gas composition testing performed by a qualified practitioner… a quantity of tailgas emitted per kg of biomass processed… scaled based on the biomass throughput.”</w:t>
            </w:r>
          </w:p>
        </w:tc>
        <w:tc>
          <w:tcPr>
            <w:tcW w:type="dxa" w:w="2880"/>
          </w:tcPr>
          <w:p>
            <w:pPr>
              <w:spacing w:after="40"/>
            </w:pPr>
            <w:r>
              <w:rPr>
                <w:i w:val="0"/>
                <w:sz w:val="17"/>
              </w:rPr>
              <w:t>Re-run tailgas composition testing per feedstock on the new units (Workstream D) and update the per-kg emission factor.</w:t>
            </w:r>
          </w:p>
        </w:tc>
      </w:tr>
      <w:tr>
        <w:tc>
          <w:tcPr>
            <w:tcW w:type="dxa" w:w="2880"/>
          </w:tcPr>
          <w:p>
            <w:pPr>
              <w:spacing w:after="40"/>
            </w:pPr>
            <w:r>
              <w:rPr>
                <w:b/>
                <w:i w:val="0"/>
                <w:sz w:val="17"/>
              </w:rPr>
              <w:t>Section B — SSR rows: Fuel Use / Electricity Use / Embodied Emissions (Facilities &amp; Equipment) — Biomass Pyrolysis – Charm</w:t>
            </w:r>
          </w:p>
        </w:tc>
        <w:tc>
          <w:tcPr>
            <w:tcW w:type="dxa" w:w="2880"/>
          </w:tcPr>
          <w:p>
            <w:pPr>
              <w:spacing w:after="40"/>
            </w:pPr>
            <w:r>
              <w:rPr>
                <w:i/>
                <w:sz w:val="17"/>
              </w:rPr>
              <w:t>Fuel via GLEC × purchased fuel; electricity via eGrid × kWh; embodied via an equipment/facilities inventory amortized over “expected facility biomass throughput.”</w:t>
            </w:r>
          </w:p>
        </w:tc>
        <w:tc>
          <w:tcPr>
            <w:tcW w:type="dxa" w:w="2880"/>
          </w:tcPr>
          <w:p>
            <w:pPr>
              <w:spacing w:after="40"/>
            </w:pPr>
            <w:r>
              <w:rPr>
                <w:i w:val="0"/>
                <w:sz w:val="17"/>
              </w:rPr>
              <w:t>Re-baseline energy use and rebuild the equipment/facilities embodied inventory for the new units, and update the throughput amortization basis (Workstream E).</w:t>
            </w:r>
          </w:p>
        </w:tc>
      </w:tr>
      <w:tr>
        <w:tc>
          <w:tcPr>
            <w:tcW w:type="dxa" w:w="2880"/>
          </w:tcPr>
          <w:p>
            <w:pPr>
              <w:spacing w:after="40"/>
            </w:pPr>
            <w:r>
              <w:rPr>
                <w:b/>
                <w:i w:val="0"/>
                <w:sz w:val="17"/>
              </w:rPr>
              <w:t>Appendix 11 — Production Period &amp; sampling</w:t>
            </w:r>
          </w:p>
        </w:tc>
        <w:tc>
          <w:tcPr>
            <w:tcW w:type="dxa" w:w="2880"/>
          </w:tcPr>
          <w:p>
            <w:pPr>
              <w:spacing w:after="40"/>
            </w:pPr>
            <w:r>
              <w:rPr>
                <w:i/>
                <w:sz w:val="17"/>
              </w:rPr>
              <w:t>“Within a Production Period, Charm will use a consistent biomass feedstock… consistent pyrolyzer operation setpoints…”; “All biochar in 1 production batch is produced using the same biomass feedstock, same pyrolyzers, and uniform pyrolysis process setpoints.”</w:t>
            </w:r>
          </w:p>
        </w:tc>
        <w:tc>
          <w:tcPr>
            <w:tcW w:type="dxa" w:w="2880"/>
          </w:tcPr>
          <w:p>
            <w:pPr>
              <w:spacing w:after="40"/>
            </w:pPr>
            <w:r>
              <w:rPr>
                <w:i w:val="0"/>
                <w:sz w:val="17"/>
              </w:rPr>
              <w:t>A new pyrolyzer generation opens a new Production Period. Update the definition/description and restart batch sampling (Workstream C).</w:t>
            </w:r>
          </w:p>
        </w:tc>
      </w:tr>
      <w:tr>
        <w:tc>
          <w:tcPr>
            <w:tcW w:type="dxa" w:w="2880"/>
          </w:tcPr>
          <w:p>
            <w:pPr>
              <w:spacing w:after="40"/>
            </w:pPr>
            <w:r>
              <w:rPr>
                <w:b/>
                <w:i w:val="0"/>
                <w:sz w:val="17"/>
              </w:rPr>
              <w:t>Appendix 11 — Biochar durability method</w:t>
            </w:r>
          </w:p>
        </w:tc>
        <w:tc>
          <w:tcPr>
            <w:tcW w:type="dxa" w:w="2880"/>
          </w:tcPr>
          <w:p>
            <w:pPr>
              <w:spacing w:after="40"/>
            </w:pPr>
            <w:r>
              <w:rPr>
                <w:i/>
                <w:sz w:val="17"/>
              </w:rPr>
              <w:t>“Charm will claim 200-year durability… calculating Fdurable as a function of soil temperature and molar H:Corg ratio as per Option 1 in section 4.1.1.”</w:t>
            </w:r>
          </w:p>
        </w:tc>
        <w:tc>
          <w:tcPr>
            <w:tcW w:type="dxa" w:w="2880"/>
          </w:tcPr>
          <w:p>
            <w:pPr>
              <w:spacing w:after="40"/>
            </w:pPr>
            <w:r>
              <w:rPr>
                <w:i w:val="0"/>
                <w:sz w:val="17"/>
              </w:rPr>
              <w:t>Update the reported molar H:Corg (re-measured on the new char, Workstream C) that feeds Fdurable, and re-confirm Option 1 vs Option 2.</w:t>
            </w:r>
          </w:p>
        </w:tc>
      </w:tr>
      <w:tr>
        <w:tc>
          <w:tcPr>
            <w:tcW w:type="dxa" w:w="2880"/>
          </w:tcPr>
          <w:p>
            <w:pPr>
              <w:spacing w:after="40"/>
            </w:pPr>
            <w:r>
              <w:rPr>
                <w:b/>
                <w:i w:val="0"/>
                <w:sz w:val="17"/>
              </w:rPr>
              <w:t>Appendix 10 — production-batch definition</w:t>
            </w:r>
          </w:p>
        </w:tc>
        <w:tc>
          <w:tcPr>
            <w:tcW w:type="dxa" w:w="2880"/>
          </w:tcPr>
          <w:p>
            <w:pPr>
              <w:spacing w:after="40"/>
            </w:pPr>
            <w:r>
              <w:rPr>
                <w:i/>
                <w:sz w:val="17"/>
              </w:rPr>
              <w:t>“Production batches, representing a change in biomass feedstock or pyrolysis process, will extend the above analysis to include major anions and cations.”</w:t>
            </w:r>
          </w:p>
        </w:tc>
        <w:tc>
          <w:tcPr>
            <w:tcW w:type="dxa" w:w="2880"/>
          </w:tcPr>
          <w:p>
            <w:pPr>
              <w:spacing w:after="40"/>
            </w:pPr>
            <w:r>
              <w:rPr>
                <w:i w:val="0"/>
                <w:sz w:val="17"/>
              </w:rPr>
              <w:t>Confirms a new pyrolyzer = a new production batch; extend the subsurface geochemistry analysis for the new-generation batches.</w:t>
            </w:r>
          </w:p>
        </w:tc>
      </w:tr>
      <w:tr>
        <w:tc>
          <w:tcPr>
            <w:tcW w:type="dxa" w:w="2880"/>
          </w:tcPr>
          <w:p>
            <w:pPr>
              <w:spacing w:after="40"/>
            </w:pPr>
            <w:r>
              <w:rPr>
                <w:b/>
                <w:i w:val="0"/>
                <w:sz w:val="17"/>
              </w:rPr>
              <w:t>Cross-references to older design-document versions</w:t>
            </w:r>
          </w:p>
        </w:tc>
        <w:tc>
          <w:tcPr>
            <w:tcW w:type="dxa" w:w="2880"/>
          </w:tcPr>
          <w:p>
            <w:pPr>
              <w:spacing w:after="40"/>
            </w:pPr>
            <w:r>
              <w:rPr>
                <w:i/>
                <w:sz w:val="17"/>
              </w:rPr>
              <w:t>Appendix 11 points to “v1.8” and “v1.7” of the older “Charm Industrial Kansas Bio-Oil Sequestration Project Design Document” for reactor design and stack-emissions detail.</w:t>
            </w:r>
          </w:p>
        </w:tc>
        <w:tc>
          <w:tcPr>
            <w:tcW w:type="dxa" w:w="2880"/>
          </w:tcPr>
          <w:p>
            <w:pPr>
              <w:spacing w:after="40"/>
            </w:pPr>
            <w:r>
              <w:rPr>
                <w:i w:val="0"/>
                <w:sz w:val="17"/>
              </w:rPr>
              <w:t>Update those cross-referenced figures/appendices (or fold current content into the live PDD) so the validated reactor configuration is the new generation, not the superseded one.</w:t>
            </w:r>
          </w:p>
        </w:tc>
      </w:tr>
    </w:tbl>
    <w:p>
      <w:pPr>
        <w:spacing w:after="40"/>
      </w:pPr>
    </w:p>
    <w:p>
      <w:pPr>
        <w:pStyle w:val="ListBullet"/>
        <w:spacing w:after="40"/>
      </w:pPr>
      <w:r>
        <w:rPr>
          <w:b w:val="0"/>
        </w:rPr>
        <w:t>Update the Risk-of-Reversal questionnaire and risk-rating inputs affected by the new equipment.</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precedes validation]    </w:t>
      </w:r>
      <w:r>
        <w:rPr>
          <w:b/>
          <w:color w:val="1F3864"/>
          <w:sz w:val="19"/>
        </w:rPr>
        <w:t xml:space="preserve">Gate: </w:t>
      </w:r>
      <w:r>
        <w:rPr>
          <w:sz w:val="19"/>
        </w:rPr>
        <w:t>Complete before re-validation (Workstream H)</w:t>
      </w:r>
    </w:p>
    <w:p>
      <w:pPr>
        <w:keepNext/>
        <w:spacing w:before="200" w:after="40"/>
      </w:pPr>
      <w:r>
        <w:rPr>
          <w:b/>
          <w:color w:val="1F3864"/>
          <w:sz w:val="23"/>
        </w:rPr>
        <w:t>B.  Bio-oil carbon-content re-characterization  (your note #2, bio-oil)</w:t>
      </w:r>
    </w:p>
    <w:p>
      <w:pPr>
        <w:spacing w:after="120"/>
      </w:pPr>
      <w:r>
        <w:rPr>
          <w:b w:val="0"/>
        </w:rPr>
      </w:r>
      <w:r>
        <w:rPr>
          <w:b/>
        </w:rPr>
        <w:t>Objective:</w:t>
      </w:r>
      <w:r>
        <w:rPr>
          <w:b w:val="0"/>
        </w:rPr>
        <w:t xml:space="preserve"> Re-establish the bio-oil carbon-content basis for the new units. Carbon content is the core input to the gross stored-CO₂ number, so this is on the critical path.</w:t>
      </w:r>
    </w:p>
    <w:p>
      <w:pPr>
        <w:spacing w:before="60" w:after="40"/>
        <w:ind w:left="280" w:right="160"/>
        <w:shd w:val="clear" w:color="auto" w:fill="F2F5FA"/>
      </w:pPr>
      <w:r>
        <w:rPr>
          <w:i/>
          <w:sz w:val="20"/>
        </w:rPr>
        <w:t>“If there is a significant change to a Production Process for a feedstock, which is likely to alter the average C content of the feedstock, or if significant deviations in carbon content are detected, the feedstock should be considered as a new Production Process. This means that sampling must be restarted, with all prior samples no longer able to be used for estimating C content.”</w:t>
      </w:r>
    </w:p>
    <w:p>
      <w:pPr>
        <w:spacing w:after="120"/>
        <w:ind w:left="280"/>
      </w:pPr>
      <w:r>
        <w:rPr>
          <w:color w:val="666666"/>
          <w:sz w:val="18"/>
        </w:rPr>
        <w:t>— Bio-oil Geological Storage v1.2, §8.3.1.1</w:t>
      </w:r>
    </w:p>
    <w:p>
      <w:pPr>
        <w:pStyle w:val="ListBullet"/>
        <w:spacing w:after="40"/>
      </w:pPr>
      <w:r>
        <w:rPr>
          <w:b w:val="0"/>
        </w:rPr>
        <w:t>Treat each feedstock on the new units as a new Production Process — start sampling from zero. Prior WODO/Aqueous history does not carry over.</w:t>
      </w:r>
    </w:p>
    <w:p>
      <w:pPr>
        <w:pStyle w:val="ListBullet"/>
        <w:spacing w:after="40"/>
      </w:pPr>
      <w:r>
        <w:rPr>
          <w:b w:val="0"/>
        </w:rPr>
        <w:t>Run the every-batch method (Method A) until at least 30 production batches are sampled per feedstock; only then may Method B (at least every 10 batches) be used. Plan for the first ~30 batches per feedstock carrying full per-batch sampling.</w:t>
      </w:r>
    </w:p>
    <w:p>
      <w:pPr>
        <w:pStyle w:val="ListBullet"/>
        <w:spacing w:after="40"/>
      </w:pPr>
      <w:r>
        <w:rPr>
          <w:b w:val="0"/>
        </w:rPr>
        <w:t>Use the NREL carbon/hydrogen/nitrogen procedure (mandatory above 3 psi vapor pressure) or ASTM D5291 / D5373; ISO 17025-accredited lab.</w:t>
      </w:r>
    </w:p>
    <w:p>
      <w:pPr>
        <w:pStyle w:val="ListBullet"/>
        <w:spacing w:after="40"/>
      </w:pPr>
      <w:r>
        <w:rPr>
          <w:b w:val="0"/>
        </w:rPr>
        <w:t>At least 3 samples per production batch from a well-mixed aliquot; winsorize outliers once 30+ measurements exist.</w:t>
      </w:r>
    </w:p>
    <w:p>
      <w:pPr>
        <w:pStyle w:val="ListBullet"/>
        <w:spacing w:after="40"/>
      </w:pPr>
      <w:r>
        <w:rPr>
          <w:b w:val="0"/>
        </w:rPr>
        <w:t>Re-agree the random-sampling cadence with Isometric and document it in the PDD (no less than monthly on average) — Workstream H.</w:t>
      </w:r>
    </w:p>
    <w:p>
      <w:pPr>
        <w:pStyle w:val="ListBullet"/>
        <w:spacing w:after="40"/>
      </w:pPr>
      <w:r>
        <w:rPr>
          <w:b w:val="0"/>
        </w:rPr>
        <w:t>Re-confirm operational gates: density above formation-fluid density (1.01 g/cm³), water content, viscosity for the new-unit oil.</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begins at first production]    </w:t>
      </w:r>
      <w:r>
        <w:rPr>
          <w:b/>
          <w:color w:val="1F3864"/>
          <w:sz w:val="19"/>
        </w:rPr>
        <w:t xml:space="preserve">Gate: </w:t>
      </w:r>
      <w:r>
        <w:rPr>
          <w:sz w:val="19"/>
        </w:rPr>
        <w:t>First creditable bio-oil batch needs a valid C-content basis</w:t>
      </w:r>
    </w:p>
    <w:p>
      <w:pPr>
        <w:keepNext/>
        <w:spacing w:before="200" w:after="40"/>
      </w:pPr>
      <w:r>
        <w:rPr>
          <w:b/>
          <w:color w:val="1F3864"/>
          <w:sz w:val="23"/>
        </w:rPr>
        <w:t>C.  Biochar re-characterization  (your note #2, biochar)</w:t>
      </w:r>
    </w:p>
    <w:p>
      <w:pPr>
        <w:spacing w:after="120"/>
      </w:pPr>
      <w:r>
        <w:rPr>
          <w:b w:val="0"/>
        </w:rPr>
      </w:r>
      <w:r>
        <w:rPr>
          <w:b/>
        </w:rPr>
        <w:t>Objective:</w:t>
      </w:r>
      <w:r>
        <w:rPr>
          <w:b w:val="0"/>
        </w:rPr>
        <w:t xml:space="preserve"> Re-run the biochar characterization set. The storage module ties much of it directly to a reactor/process change — exactly what a new generation is.</w:t>
      </w:r>
    </w:p>
    <w:p>
      <w:pPr>
        <w:spacing w:before="60" w:after="40"/>
        <w:ind w:left="280" w:right="160"/>
        <w:shd w:val="clear" w:color="auto" w:fill="F2F5FA"/>
      </w:pPr>
      <w:r>
        <w:rPr>
          <w:i/>
          <w:sz w:val="20"/>
        </w:rPr>
        <w:t>“Biochar physical and chemical characteristics will be highly influenced by the biomass feedstock type and pyrolysis conditions.”</w:t>
      </w:r>
    </w:p>
    <w:p>
      <w:pPr>
        <w:spacing w:after="120"/>
        <w:ind w:left="280"/>
      </w:pPr>
      <w:r>
        <w:rPr>
          <w:color w:val="666666"/>
          <w:sz w:val="18"/>
        </w:rPr>
        <w:t>— Biochar Storage in Soil Environments v1.2, §3.1</w:t>
      </w:r>
    </w:p>
    <w:p>
      <w:pPr>
        <w:spacing w:after="120"/>
      </w:pPr>
      <w:r>
        <w:rPr>
          <w:b w:val="0"/>
        </w:rPr>
        <w:t xml:space="preserve">The module's monitoring-frequency column repeatedly reads that a parameter is measured once at validation </w:t>
      </w:r>
      <w:r>
        <w:rPr>
          <w:b/>
        </w:rPr>
        <w:t>unless the reactor or process changes</w:t>
      </w:r>
      <w:r>
        <w:rPr>
          <w:b w:val="0"/>
        </w:rPr>
        <w:t xml:space="preserve"> — the direct hook for re-measurement:</w:t>
      </w:r>
    </w:p>
    <w:p>
      <w:pPr>
        <w:spacing w:before="60" w:after="40"/>
        <w:ind w:left="280" w:right="160"/>
        <w:shd w:val="clear" w:color="auto" w:fill="F2F5FA"/>
      </w:pPr>
      <w:r>
        <w:rPr>
          <w:i/>
          <w:sz w:val="20"/>
        </w:rPr>
        <w:t>“Measured at project validation unless feedstock, reactor or process parameters change.”</w:t>
      </w:r>
    </w:p>
    <w:p>
      <w:pPr>
        <w:spacing w:after="120"/>
        <w:ind w:left="280"/>
      </w:pPr>
      <w:r>
        <w:rPr>
          <w:color w:val="666666"/>
          <w:sz w:val="18"/>
        </w:rPr>
        <w:t>— Biochar Storage in Soil Environments v1.2, Tables 1 &amp; 2 (monitoring frequency)</w:t>
      </w:r>
    </w:p>
    <w:p>
      <w:pPr>
        <w:keepNext/>
        <w:spacing w:before="120" w:after="20"/>
      </w:pPr>
      <w:r>
        <w:rPr>
          <w:b/>
          <w:color w:val="1F3864"/>
          <w:sz w:val="21"/>
        </w:rPr>
        <w:t>C1 — Per-batch chemical characterization (restart, every production batch)</w:t>
      </w:r>
    </w:p>
    <w:p>
      <w:pPr>
        <w:pStyle w:val="ListBullet"/>
        <w:spacing w:after="40"/>
      </w:pPr>
      <w:r>
        <w:rPr>
          <w:b w:val="0"/>
        </w:rPr>
        <w:t>Restart on the new units, ≥3 samples per production batch, ISO 17025 lab: Total Carbon, Inorganic Carbon (C_inorg), Moisture, Total Hydrogen, Organic Carbon (C_org = Total C − C_inorg), molar H/C_org, molar O/C_org, Ash (Table 2).</w:t>
      </w:r>
    </w:p>
    <w:p>
      <w:pPr>
        <w:pStyle w:val="ListBullet"/>
        <w:spacing w:after="40"/>
      </w:pPr>
      <w:r>
        <w:rPr>
          <w:b w:val="0"/>
        </w:rPr>
      </w:r>
      <w:r>
        <w:rPr>
          <w:b/>
        </w:rPr>
        <w:t>Eligibility thresholds — pass/fail:</w:t>
      </w:r>
      <w:r>
        <w:rPr>
          <w:b w:val="0"/>
        </w:rPr>
        <w:t xml:space="preserve"> molar </w:t>
      </w:r>
      <w:r>
        <w:rPr>
          <w:b/>
        </w:rPr>
        <w:t>H/C_org &lt; 0.5</w:t>
      </w:r>
      <w:r>
        <w:rPr>
          <w:b w:val="0"/>
        </w:rPr>
        <w:t xml:space="preserve"> and molar </w:t>
      </w:r>
      <w:r>
        <w:rPr>
          <w:b/>
        </w:rPr>
        <w:t>O/C_org &lt; 0.2</w:t>
      </w:r>
      <w:r>
        <w:rPr>
          <w:b w:val="0"/>
        </w:rPr>
        <w:t xml:space="preserve"> (Table 2). H/C_org is also the durability driver for the 200-year option.</w:t>
      </w:r>
    </w:p>
    <w:p>
      <w:pPr>
        <w:keepNext/>
        <w:spacing w:before="120" w:after="20"/>
      </w:pPr>
      <w:r>
        <w:rPr>
          <w:b/>
          <w:color w:val="1F3864"/>
          <w:sz w:val="21"/>
        </w:rPr>
        <w:t>C2 — One-time-at-validation characterization (re-measure for the new generation)</w:t>
      </w:r>
    </w:p>
    <w:p>
      <w:pPr>
        <w:pStyle w:val="ListBullet"/>
        <w:spacing w:after="40"/>
      </w:pPr>
      <w:r>
        <w:rPr>
          <w:b w:val="0"/>
        </w:rPr>
        <w:t>Re-measure the parameters fixed at validation but re-triggered by a reactor/process change: Total Nitrogen, Total Oxygen, Total Sulfur, pH, salt content, water-holding capacity, nutrient content (P,K,Mg,Ca,Fe), bulk density (&lt;3 mm).</w:t>
      </w:r>
    </w:p>
    <w:p>
      <w:pPr>
        <w:pStyle w:val="ListBullet"/>
        <w:spacing w:after="40"/>
      </w:pPr>
      <w:r>
        <w:rPr>
          <w:b w:val="0"/>
        </w:rPr>
        <w:t>Re-run contaminant screening against the module thresholds — heavy metals (Pb 300, Cd 5, Cu 200, Ni 100, Hg 2, Zn 1,000, Cr 200, As 20 g/t DM), PAHs (EPA-16 declaration, EFSA-8 ≤1 g/t DM), dioxins/furans (PCDD/F ≤20 ng/kg DM), PCBs (≤0.2 mg/kg DM). A new pyrolysis regime can shift contaminant partitioning.</w:t>
      </w:r>
    </w:p>
    <w:p>
      <w:pPr>
        <w:pStyle w:val="ListBullet"/>
        <w:spacing w:after="40"/>
      </w:pPr>
      <w:r>
        <w:rPr>
          <w:b w:val="0"/>
        </w:rPr>
        <w:t>On PAHs: the module allows a risk-mitigation route in place of routine PAH testing for high-tech continuous production, only if pre-agreed with Isometric and detailed in the PDD. Decide which route the new units use.</w:t>
      </w:r>
    </w:p>
    <w:p>
      <w:pPr>
        <w:keepNext/>
        <w:spacing w:before="120" w:after="20"/>
      </w:pPr>
      <w:r>
        <w:rPr>
          <w:b/>
          <w:color w:val="1F3864"/>
          <w:sz w:val="21"/>
        </w:rPr>
        <w:t>C3 — Durability quantification (F_durable)</w:t>
      </w:r>
    </w:p>
    <w:p>
      <w:pPr>
        <w:spacing w:after="120"/>
      </w:pPr>
      <w:r>
        <w:rPr>
          <w:b w:val="0"/>
        </w:rPr>
        <w:t>Stored CO₂ = C_biochar × dry mass × F_durable × 44.01/12.01 (Eq 1). Confirm the option for the new char:</w:t>
      </w:r>
    </w:p>
    <w:p>
      <w:pPr>
        <w:pStyle w:val="ListBullet"/>
        <w:spacing w:after="40"/>
      </w:pPr>
      <w:r>
        <w:rPr>
          <w:b w:val="0"/>
        </w:rPr>
      </w:r>
      <w:r>
        <w:rPr>
          <w:b/>
        </w:rPr>
        <w:t>Option 1 (200-year, current):</w:t>
      </w:r>
      <w:r>
        <w:rPr>
          <w:b w:val="0"/>
        </w:rPr>
        <w:t xml:space="preserve"> F_durable,200 = min(0.95, 1 − [c + (a + b·ln(T_soil))·H/C_org]); a=−0.383, b=0.350, c=−0.048 (Table 4); 17th-percentile; soil-temperature floor 7°C. Needs the new char's H/C_org (C1) and site soil temperature.</w:t>
      </w:r>
    </w:p>
    <w:p>
      <w:pPr>
        <w:pStyle w:val="ListBullet"/>
        <w:spacing w:after="40"/>
      </w:pPr>
      <w:r>
        <w:rPr>
          <w:b w:val="0"/>
        </w:rPr>
      </w:r>
      <w:r>
        <w:rPr>
          <w:b/>
        </w:rPr>
        <w:t>Option 2 (1,000-year):</w:t>
      </w:r>
      <w:r>
        <w:rPr>
          <w:b w:val="0"/>
        </w:rPr>
        <w:t xml:space="preserve"> random reflectance R₀ ≥ 2%, ≥500 measurements across ≥3 replicate samples, plus reactive/residual organic carbon. Heavier lab lift.</w:t>
      </w:r>
    </w:p>
    <w:p>
      <w:pPr>
        <w:pStyle w:val="ListBullet"/>
        <w:spacing w:after="40"/>
      </w:pPr>
      <w:r>
        <w:rPr>
          <w:b w:val="0"/>
        </w:rPr>
        <w:t>Combining tiers under one validation: each production batch credited under only one tier, temporal + spatial separation, batch-level traceability, or credits cap at 200 years (§5.1.3).</w:t>
      </w:r>
    </w:p>
    <w:p>
      <w:pPr>
        <w:keepNext/>
        <w:spacing w:before="120" w:after="20"/>
      </w:pPr>
      <w:r>
        <w:rPr>
          <w:b/>
          <w:color w:val="1F3864"/>
          <w:sz w:val="21"/>
        </w:rPr>
        <w:t>C4 — Records</w:t>
      </w:r>
    </w:p>
    <w:p>
      <w:pPr>
        <w:pStyle w:val="ListBullet"/>
        <w:spacing w:after="40"/>
      </w:pPr>
      <w:r>
        <w:rPr>
          <w:b w:val="0"/>
        </w:rPr>
        <w:t>Keep characterization records ≥5 years; archive a dried ~100 g subsample per batch (§4.3).</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begins at first production]    </w:t>
      </w:r>
      <w:r>
        <w:rPr>
          <w:b/>
          <w:color w:val="1F3864"/>
          <w:sz w:val="19"/>
        </w:rPr>
        <w:t xml:space="preserve">Gate: </w:t>
      </w:r>
      <w:r>
        <w:rPr>
          <w:sz w:val="19"/>
        </w:rPr>
        <w:t>First creditable biochar batch needs C-content, thresholds, and F_durable basis</w:t>
      </w:r>
    </w:p>
    <w:p>
      <w:pPr>
        <w:keepNext/>
        <w:spacing w:before="200" w:after="40"/>
      </w:pPr>
      <w:r>
        <w:rPr>
          <w:b/>
          <w:color w:val="1F3864"/>
          <w:sz w:val="23"/>
        </w:rPr>
        <w:t>D.  Stack / process emissions testing  (your note #2, stack + a new bio-oil obligation)</w:t>
      </w:r>
    </w:p>
    <w:p>
      <w:pPr>
        <w:spacing w:after="120"/>
      </w:pPr>
      <w:r>
        <w:rPr>
          <w:b w:val="0"/>
        </w:rPr>
      </w:r>
      <w:r>
        <w:rPr>
          <w:b/>
        </w:rPr>
        <w:t>Objective:</w:t>
      </w:r>
      <w:r>
        <w:rPr>
          <w:b w:val="0"/>
        </w:rPr>
        <w:t xml:space="preserve"> Re-establish direct process emissions from the new units. Splits into biochar-side testing (D1) and the new bio-oil tailgas obligation (D2).</w:t>
      </w:r>
    </w:p>
    <w:p>
      <w:pPr>
        <w:keepNext/>
        <w:spacing w:before="120" w:after="20"/>
      </w:pPr>
      <w:r>
        <w:rPr>
          <w:b/>
          <w:color w:val="1F3864"/>
          <w:sz w:val="21"/>
        </w:rPr>
        <w:t>D1 — Biochar operation-emissions testing (Production &amp; Storage §10)</w:t>
      </w:r>
    </w:p>
    <w:p>
      <w:pPr>
        <w:spacing w:before="60" w:after="40"/>
        <w:ind w:left="280" w:right="160"/>
        <w:shd w:val="clear" w:color="auto" w:fill="F2F5FA"/>
      </w:pPr>
      <w:r>
        <w:rPr>
          <w:i/>
          <w:sz w:val="20"/>
        </w:rPr>
        <w:t>“Pyrolysis temperature during operations must be within ±10% of emissions test values.”</w:t>
      </w:r>
    </w:p>
    <w:p>
      <w:pPr>
        <w:spacing w:after="120"/>
        <w:ind w:left="280"/>
      </w:pPr>
      <w:r>
        <w:rPr>
          <w:color w:val="666666"/>
          <w:sz w:val="18"/>
        </w:rPr>
        <w:t>— Biochar Production and Storage v1.2, §10.1.1.2 (Process Consistency)</w:t>
      </w:r>
    </w:p>
    <w:p>
      <w:pPr>
        <w:spacing w:before="60" w:after="40"/>
        <w:ind w:left="280" w:right="160"/>
        <w:shd w:val="clear" w:color="auto" w:fill="F2F5FA"/>
      </w:pPr>
      <w:r>
        <w:rPr>
          <w:i/>
          <w:sz w:val="20"/>
        </w:rPr>
        <w:t>“Analytical testing must follow ASTM D5291 and demonstrate that, for each measured feedstock characteristic, the biomass used in actual project operations falls within ±10% of the corresponding value from the biomass used during emissions testing.”</w:t>
      </w:r>
    </w:p>
    <w:p>
      <w:pPr>
        <w:spacing w:after="120"/>
        <w:ind w:left="280"/>
      </w:pPr>
      <w:r>
        <w:rPr>
          <w:color w:val="666666"/>
          <w:sz w:val="18"/>
        </w:rPr>
        <w:t>— Biochar Production and Storage v1.2, §10.1.1.2 (Feedstock Consistency)</w:t>
      </w:r>
    </w:p>
    <w:p>
      <w:pPr>
        <w:pStyle w:val="ListBullet"/>
        <w:spacing w:after="40"/>
      </w:pPr>
      <w:r>
        <w:rPr>
          <w:b w:val="0"/>
        </w:rPr>
        <w:t>Choose the method: continuous direct measurement (inline flow meter + analyzer for CH₄, N₂O, CO, CO₂; ±2% full scale; ≥1-minute recording; annual calibration) OR regular emissions testing by an accredited provider (ASTM D7036 / ISO 17025 / state-approved), at least annually on every reactor in use.</w:t>
      </w:r>
    </w:p>
    <w:p>
      <w:pPr>
        <w:pStyle w:val="ListBullet"/>
        <w:spacing w:after="40"/>
      </w:pPr>
      <w:r>
        <w:rPr>
          <w:b w:val="0"/>
        </w:rPr>
        <w:t>Re-test each feedstock on the new units — prior results transfer only within the ±10% windows above.</w:t>
      </w:r>
    </w:p>
    <w:p>
      <w:pPr>
        <w:pStyle w:val="ListBullet"/>
        <w:spacing w:after="40"/>
      </w:pPr>
      <w:r>
        <w:rPr>
          <w:b w:val="0"/>
        </w:rPr>
        <w:t>If any feedstock has a carbon-to-nitrogen ratio under 30, either monitor N₂O in the flue gas or document why it is not a material concern (§10.1).</w:t>
      </w:r>
    </w:p>
    <w:p>
      <w:pPr>
        <w:pStyle w:val="ListBullet"/>
        <w:spacing w:after="40"/>
      </w:pPr>
      <w:r>
        <w:rPr>
          <w:b w:val="0"/>
        </w:rPr>
        <w:t>Confirm which of the four permissible gas end-use routes applies (§10.1.2). The current PDD co-fires non-condensable gas with propane for biomass drying — re-confirm for the new units.</w:t>
      </w:r>
    </w:p>
    <w:p>
      <w:pPr>
        <w:pStyle w:val="ListBullet"/>
        <w:spacing w:after="40"/>
      </w:pPr>
      <w:r>
        <w:rPr>
          <w:b w:val="0"/>
        </w:rPr>
        <w:t>If the reactor runs above 0.5 Bar over ambient, stand up leakage monitoring (§10.1.3).</w:t>
      </w:r>
    </w:p>
    <w:p>
      <w:pPr>
        <w:keepNext/>
        <w:spacing w:before="120" w:after="20"/>
      </w:pPr>
      <w:r>
        <w:rPr>
          <w:b/>
          <w:color w:val="1F3864"/>
          <w:sz w:val="21"/>
        </w:rPr>
        <w:t>D2 — Bio-oil tailgas direct emissions (NEW in v1.2 — §8.5.6)</w:t>
      </w:r>
    </w:p>
    <w:p>
      <w:pPr>
        <w:spacing w:after="120"/>
      </w:pPr>
      <w:r>
        <w:rPr>
          <w:b w:val="0"/>
        </w:rPr>
        <w:t xml:space="preserve">This obligation did </w:t>
      </w:r>
      <w:r>
        <w:rPr>
          <w:b/>
        </w:rPr>
        <w:t>not</w:t>
      </w:r>
      <w:r>
        <w:rPr>
          <w:b w:val="0"/>
        </w:rPr>
        <w:t xml:space="preserve"> exist in Bio-oil Geological Storage v1.1. Adopting v1.2 brings it in, and it scales with the new units.</w:t>
      </w:r>
    </w:p>
    <w:p>
      <w:pPr>
        <w:spacing w:before="60" w:after="40"/>
        <w:ind w:left="280" w:right="160"/>
        <w:shd w:val="clear" w:color="auto" w:fill="F2F5FA"/>
      </w:pPr>
      <w:r>
        <w:rPr>
          <w:i/>
          <w:sz w:val="20"/>
        </w:rPr>
        <w:t>“Direct emissions of tailgas as part of a pyrolysis process (CO2eTailgas, n) may occur when pyrolysis gasses are emitted to the atmosphere, are combusted within the process or pyrolyzer to provide thermal energy for the process, or are combusted or oxidized in an emissions control process such as a flare or thermal oxidizer.”</w:t>
      </w:r>
    </w:p>
    <w:p>
      <w:pPr>
        <w:spacing w:after="120"/>
        <w:ind w:left="280"/>
      </w:pPr>
      <w:r>
        <w:rPr>
          <w:color w:val="666666"/>
          <w:sz w:val="18"/>
        </w:rPr>
        <w:t>— Bio-oil Geological Storage v1.2, §8.5.6</w:t>
      </w:r>
    </w:p>
    <w:p>
      <w:pPr>
        <w:pStyle w:val="ListBullet"/>
        <w:spacing w:after="40"/>
      </w:pPr>
      <w:r>
        <w:rPr>
          <w:b w:val="0"/>
        </w:rPr>
        <w:t>Measure tailgas methane. Flow via calibrated flow meter, accredited emissions testing (Stack Testing Accreditation Council / ASTM D7036 / ISO 17025), or a carbon material balance. Methane concentration via on-line analyzer (gas chromatography / non-dispersive infrared) or emissions testing.</w:t>
      </w:r>
    </w:p>
    <w:p>
      <w:pPr>
        <w:pStyle w:val="ListBullet"/>
        <w:spacing w:after="40"/>
      </w:pPr>
      <w:r>
        <w:rPr>
          <w:b w:val="0"/>
        </w:rPr>
        <w:t>Test per feedstock type unless ASTM D5291 shows feedstocks similar within 10% per component — use test data only when pyrolysis conditions match the test conditions.</w:t>
      </w:r>
    </w:p>
    <w:p>
      <w:pPr>
        <w:pStyle w:val="ListBullet"/>
        <w:spacing w:after="40"/>
      </w:pPr>
      <w:r>
        <w:rPr>
          <w:b w:val="0"/>
        </w:rPr>
        <w:t>Coordinate D1 and D2: one accredited stack-testing campaign on the new units can serve both the biochar operation-emissions test and the bio-oil tailgas measurement. Scope it once, for both pathways.</w:t>
      </w:r>
    </w:p>
    <w:p>
      <w:pPr>
        <w:pStyle w:val="ListBullet"/>
        <w:spacing w:after="40"/>
      </w:pPr>
      <w:r>
        <w:rPr>
          <w:b w:val="0"/>
        </w:rPr>
        <w:t>Secure/maintain air-quality permits and keep supporting documentation current through the crediting period (§10.1).</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schedule campaign early]    </w:t>
      </w:r>
      <w:r>
        <w:rPr>
          <w:b/>
          <w:color w:val="1F3864"/>
          <w:sz w:val="19"/>
        </w:rPr>
        <w:t xml:space="preserve">Gate: </w:t>
      </w:r>
      <w:r>
        <w:rPr>
          <w:sz w:val="19"/>
        </w:rPr>
        <w:t>Emissions basis must exist for the first RP on the new units</w:t>
      </w:r>
    </w:p>
    <w:p>
      <w:pPr>
        <w:keepNext/>
        <w:spacing w:before="200" w:after="40"/>
      </w:pPr>
      <w:r>
        <w:rPr>
          <w:b/>
          <w:color w:val="1F3864"/>
          <w:sz w:val="23"/>
        </w:rPr>
        <w:t>E.  Energy-use, embodied-emissions &amp; co-product allocation re-baseline</w:t>
      </w:r>
    </w:p>
    <w:p>
      <w:pPr>
        <w:spacing w:after="120"/>
      </w:pPr>
      <w:r>
        <w:rPr>
          <w:b w:val="0"/>
        </w:rPr>
      </w:r>
      <w:r>
        <w:rPr>
          <w:b/>
        </w:rPr>
        <w:t>Objective:</w:t>
      </w:r>
      <w:r>
        <w:rPr>
          <w:b w:val="0"/>
        </w:rPr>
        <w:t xml:space="preserve"> The new units change energy use, equipment, and the yield split between bio-oil, biochar and gas — all feed the emissions side of net removal and must be re-run for both pathways.</w:t>
      </w:r>
    </w:p>
    <w:p>
      <w:pPr>
        <w:pStyle w:val="ListBullet"/>
        <w:spacing w:after="40"/>
      </w:pPr>
      <w:r>
        <w:rPr>
          <w:b w:val="0"/>
        </w:rPr>
        <w:t xml:space="preserve">Re-baseline energy use (Energy Use Accounting v1.3) — electricity and fuel for reactor heating, start-up, drives, handling — which resets the pyrolysis </w:t>
      </w:r>
      <w:r>
        <w:rPr>
          <w:b/>
        </w:rPr>
        <w:t>process emission factor</w:t>
      </w:r>
      <w:r>
        <w:rPr>
          <w:b w:val="0"/>
        </w:rPr>
        <w:t>, a top CI driver.</w:t>
      </w:r>
    </w:p>
    <w:p>
      <w:pPr>
        <w:pStyle w:val="ListBullet"/>
        <w:spacing w:after="40"/>
      </w:pPr>
      <w:r>
        <w:rPr>
          <w:b w:val="0"/>
        </w:rPr>
        <w:t>Build a new embodied-emissions model for the new equipment: the pyrolyzer reactor, feedstock conveyors/augers/feed bins, quench/condenser units, ash and char collection systems, and tailgas emissions-control (flares or oxidizers). Materials/BOM-based life-cycle model — the existing capital-goods method applies.</w:t>
      </w:r>
    </w:p>
    <w:p>
      <w:pPr>
        <w:pStyle w:val="ListBullet"/>
        <w:spacing w:after="40"/>
      </w:pPr>
      <w:r>
        <w:rPr>
          <w:b w:val="0"/>
        </w:rPr>
        <w:t>Re-run co-product allocation — a new yield split changes the energy-content fraction assigned to each product, so recompute for bio-oil (§8.5.5.1) and biochar (§8.6.5.4); both use energy-content (net calorific value) allocation for shared processes.</w:t>
      </w:r>
    </w:p>
    <w:p>
      <w:pPr>
        <w:spacing w:before="60" w:after="40"/>
        <w:ind w:left="280" w:right="160"/>
        <w:shd w:val="clear" w:color="auto" w:fill="F2F5FA"/>
      </w:pPr>
      <w:r>
        <w:rPr>
          <w:i/>
          <w:sz w:val="20"/>
        </w:rPr>
        <w:t>“Projects must follow the co-product allocation procedures described in Section 6.1 of the GHG Accounting Module v1.1. For projects where the CDR product(s) and co-products have a measurable energy content, the optional procedure outlined in Section 8.5.5.1.1 may be applied…”</w:t>
      </w:r>
    </w:p>
    <w:p>
      <w:pPr>
        <w:spacing w:after="120"/>
        <w:ind w:left="280"/>
      </w:pPr>
      <w:r>
        <w:rPr>
          <w:color w:val="666666"/>
          <w:sz w:val="18"/>
        </w:rPr>
        <w:t>— Bio-oil Geological Storage v1.2, §8.5.5.1</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w:t>
      </w:r>
      <w:r>
        <w:rPr>
          <w:b/>
          <w:color w:val="1F3864"/>
          <w:sz w:val="19"/>
        </w:rPr>
        <w:t xml:space="preserve">Gate: </w:t>
      </w:r>
      <w:r>
        <w:rPr>
          <w:sz w:val="19"/>
        </w:rPr>
        <w:t>Feeds net-CDR; needed before Certify build (G) is final</w:t>
      </w:r>
    </w:p>
    <w:p>
      <w:pPr>
        <w:keepNext/>
        <w:spacing w:before="200" w:after="40"/>
      </w:pPr>
      <w:r>
        <w:rPr>
          <w:b/>
          <w:color w:val="1F3864"/>
          <w:sz w:val="23"/>
        </w:rPr>
        <w:t>F.  Biochar wetting &amp; storage program  (your note #1)</w:t>
      </w:r>
    </w:p>
    <w:p>
      <w:pPr>
        <w:spacing w:after="120"/>
      </w:pPr>
      <w:r>
        <w:rPr>
          <w:b w:val="0"/>
        </w:rPr>
      </w:r>
      <w:r>
        <w:rPr>
          <w:b/>
        </w:rPr>
        <w:t>Objective:</w:t>
      </w:r>
      <w:r>
        <w:rPr>
          <w:b w:val="0"/>
        </w:rPr>
        <w:t xml:space="preserve"> Stand up a new wetting, handling, and storage program. The new-generation char no longer passes the Fauske self-heating test, so it behaves as a self-heating material and the storage module's default wet-storage requirement applies again.</w:t>
      </w:r>
    </w:p>
    <w:p>
      <w:pPr>
        <w:spacing w:after="120"/>
      </w:pPr>
      <w:r>
        <w:rPr>
          <w:b w:val="0"/>
        </w:rPr>
        <w:t>The module's default stockpiling requirement — the one Charm's dry-storage arrangement was an exemption from:</w:t>
      </w:r>
    </w:p>
    <w:p>
      <w:pPr>
        <w:spacing w:before="60" w:after="40"/>
        <w:ind w:left="280" w:right="160"/>
        <w:shd w:val="clear" w:color="auto" w:fill="F2F5FA"/>
      </w:pPr>
      <w:r>
        <w:rPr>
          <w:i/>
          <w:sz w:val="20"/>
        </w:rPr>
        <w:t>“Be stored in a wet condition or mixed with moist compost to minimize the risk of self-ignition. Be stored in a covered environment, ideally indoors, but at minimum under a secure, weatherproof cover that protects the material from rain, wind, and other environmental conditions. Be stored at a location that avoids proximity to waterways such as rivers, streams, or drainage areas where runoff could result in biochar loss.”</w:t>
      </w:r>
    </w:p>
    <w:p>
      <w:pPr>
        <w:spacing w:after="120"/>
        <w:ind w:left="280"/>
      </w:pPr>
      <w:r>
        <w:rPr>
          <w:color w:val="666666"/>
          <w:sz w:val="18"/>
        </w:rPr>
        <w:t>— Biochar Storage in Soil Environments v1.2, §7.3</w:t>
      </w:r>
    </w:p>
    <w:p>
      <w:pPr>
        <w:spacing w:before="60" w:after="40"/>
        <w:ind w:left="280" w:right="160"/>
        <w:shd w:val="clear" w:color="auto" w:fill="F2F5FA"/>
      </w:pPr>
      <w:r>
        <w:rPr>
          <w:i/>
          <w:sz w:val="20"/>
        </w:rPr>
        <w:t>“Biochar must not be stored for more than 12 months after production, unless otherwise agreed upon with Isometric.”</w:t>
      </w:r>
    </w:p>
    <w:p>
      <w:pPr>
        <w:spacing w:after="120"/>
        <w:ind w:left="280"/>
      </w:pPr>
      <w:r>
        <w:rPr>
          <w:color w:val="666666"/>
          <w:sz w:val="18"/>
        </w:rPr>
        <w:t>— Biochar Storage in Soil Environments v1.2, §7.3</w:t>
      </w:r>
    </w:p>
    <w:p>
      <w:pPr>
        <w:pStyle w:val="ListBullet"/>
        <w:spacing w:after="40"/>
      </w:pPr>
      <w:r>
        <w:rPr>
          <w:b w:val="0"/>
        </w:rPr>
        <w:t>Confirm with Isometric that the dry-storage exemption no longer holds given the self-heating result, and that the §7.3 wet-storage default now governs the new char. Document the change and its basis.</w:t>
      </w:r>
    </w:p>
    <w:p>
      <w:pPr>
        <w:pStyle w:val="ListBullet"/>
        <w:spacing w:after="40"/>
      </w:pPr>
      <w:r>
        <w:rPr>
          <w:b w:val="0"/>
        </w:rPr>
        <w:t>Write the wetting standard operating procedure — wetting rate to a target moisture (or moist-compost mixing), covered/weatherproof storage, siting away from waterways. Detail the stockpiling location and mitigations in the PDD (§7.3 requires this).</w:t>
      </w:r>
    </w:p>
    <w:p>
      <w:pPr>
        <w:pStyle w:val="ListBullet"/>
        <w:spacing w:after="40"/>
      </w:pPr>
      <w:r>
        <w:rPr>
          <w:b w:val="0"/>
        </w:rPr>
        <w:t>Hold to the 12-month stockpiling limit, or agree an exception with Isometric in writing.</w:t>
      </w:r>
    </w:p>
    <w:p>
      <w:pPr>
        <w:pStyle w:val="ListBullet"/>
        <w:spacing w:after="40"/>
      </w:pPr>
      <w:r>
        <w:rPr>
          <w:b w:val="0"/>
        </w:rPr>
        <w:t>Reclassify the char for transport and update the safety documentation — the self-heating result changes the hazard classification (UN self-heating test series) and handling controls. Coordinate with EHS.</w:t>
      </w:r>
    </w:p>
    <w:p>
      <w:pPr>
        <w:pStyle w:val="ListBullet"/>
        <w:spacing w:after="40"/>
      </w:pPr>
      <w:r>
        <w:rPr>
          <w:b w:val="0"/>
        </w:rPr>
        <w:t>Build wetting/handling moisture and mass into loss accounting for stored biochar. Note the module's rule that char reversed during stockpiling still counts within the project boundary even though it never reached storage (§7.3).</w:t>
      </w:r>
    </w:p>
    <w:p>
      <w:pPr>
        <w:pStyle w:val="ListBullet"/>
        <w:spacing w:after="40"/>
      </w:pPr>
      <w:r>
        <w:rPr>
          <w:b w:val="0"/>
        </w:rPr>
        <w:t>Confirm the siting/application rules that also bind the new char: not stored or spread within 10 m of a watercourse or 50 m of a spring/well/borehole (§5.2.2.1); where there is a non-negligible risk of removal for fuel, majority particle size ≤10 mm with ≥95% by weight through a 10 mm sieve (§7.2).</w:t>
      </w:r>
    </w:p>
    <w:p>
      <w:pPr>
        <w:spacing w:before="40" w:after="160"/>
      </w:pPr>
      <w:r>
        <w:rPr>
          <w:b/>
          <w:color w:val="1F3864"/>
          <w:sz w:val="19"/>
        </w:rPr>
        <w:t xml:space="preserve">Owner: </w:t>
      </w:r>
      <w:r>
        <w:rPr>
          <w:sz w:val="19"/>
        </w:rPr>
        <w:t xml:space="preserve">[assign — with EHS]    </w:t>
      </w:r>
      <w:r>
        <w:rPr>
          <w:b/>
          <w:color w:val="1F3864"/>
          <w:sz w:val="19"/>
        </w:rPr>
        <w:t xml:space="preserve">Target window: </w:t>
      </w:r>
      <w:r>
        <w:rPr>
          <w:sz w:val="19"/>
        </w:rPr>
        <w:t xml:space="preserve">[assign]    </w:t>
      </w:r>
      <w:r>
        <w:rPr>
          <w:b/>
          <w:color w:val="1F3864"/>
          <w:sz w:val="19"/>
        </w:rPr>
        <w:t xml:space="preserve">Gate: </w:t>
      </w:r>
      <w:r>
        <w:rPr>
          <w:sz w:val="19"/>
        </w:rPr>
        <w:t>Wet-storage program + safety docs before new-unit char moves/stores</w:t>
      </w:r>
    </w:p>
    <w:p>
      <w:pPr>
        <w:keepNext/>
        <w:spacing w:before="200" w:after="40"/>
      </w:pPr>
      <w:r>
        <w:rPr>
          <w:b/>
          <w:color w:val="1F3864"/>
          <w:sz w:val="23"/>
        </w:rPr>
        <w:t>G.  Certify / dMRV &amp; GHG-accounting build</w:t>
      </w:r>
    </w:p>
    <w:p>
      <w:pPr>
        <w:spacing w:after="120"/>
      </w:pPr>
      <w:r>
        <w:rPr>
          <w:b w:val="0"/>
        </w:rPr>
      </w:r>
      <w:r>
        <w:rPr>
          <w:b/>
        </w:rPr>
        <w:t>Objective:</w:t>
      </w:r>
      <w:r>
        <w:rPr>
          <w:b w:val="0"/>
        </w:rPr>
        <w:t xml:space="preserve"> Reflect everything above in the platform Isometric verifies from, so a new-unit removal calculates correctly end to end.</w:t>
      </w:r>
    </w:p>
    <w:p>
      <w:pPr>
        <w:pStyle w:val="ListBullet"/>
        <w:spacing w:after="40"/>
      </w:pPr>
      <w:r>
        <w:rPr>
          <w:b w:val="0"/>
        </w:rPr>
        <w:t>Stand up the component structure, datapoints, and source links for new-unit production — including a new component for the bio-oil tailgas direct emissions (D2).</w:t>
      </w:r>
    </w:p>
    <w:p>
      <w:pPr>
        <w:pStyle w:val="ListBullet"/>
        <w:spacing w:after="40"/>
      </w:pPr>
      <w:r>
        <w:rPr>
          <w:b w:val="0"/>
        </w:rPr>
        <w:t>Load the re-baselined process emission factor, embodied-emissions figures, and co-product allocation from E, and the new F_durable inputs from C3.</w:t>
      </w:r>
    </w:p>
    <w:p>
      <w:pPr>
        <w:pStyle w:val="ListBullet"/>
        <w:spacing w:after="40"/>
      </w:pPr>
      <w:r>
        <w:rPr>
          <w:b w:val="0"/>
        </w:rPr>
        <w:t>Re-derive the measurement-uncertainty inputs on the new basis — new equipment and a new mass basis change the per-datapoint uncertainties that drive the variance-propagation discount.</w:t>
      </w:r>
    </w:p>
    <w:p>
      <w:pPr>
        <w:pStyle w:val="ListBullet"/>
        <w:spacing w:after="40"/>
      </w:pPr>
      <w:r>
        <w:rPr>
          <w:b w:val="0"/>
        </w:rPr>
        <w:t>Update the production-period CI method / spreadsheet (and dMRV integration as it lands) for the new units.</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after E, before first submission]    </w:t>
      </w:r>
      <w:r>
        <w:rPr>
          <w:b/>
          <w:color w:val="1F3864"/>
          <w:sz w:val="19"/>
        </w:rPr>
        <w:t xml:space="preserve">Gate: </w:t>
      </w:r>
      <w:r>
        <w:rPr>
          <w:sz w:val="19"/>
        </w:rPr>
        <w:t>Must be complete before the first new-unit GHG statement</w:t>
      </w:r>
    </w:p>
    <w:p>
      <w:pPr>
        <w:keepNext/>
        <w:spacing w:before="200" w:after="40"/>
      </w:pPr>
      <w:r>
        <w:rPr>
          <w:b/>
          <w:color w:val="1F3864"/>
          <w:sz w:val="23"/>
        </w:rPr>
        <w:t>H.  Verifier &amp; validation engagement (350Solutions / Isometric)</w:t>
      </w:r>
    </w:p>
    <w:p>
      <w:pPr>
        <w:spacing w:after="120"/>
      </w:pPr>
      <w:r>
        <w:rPr>
          <w:b w:val="0"/>
        </w:rPr>
      </w:r>
      <w:r>
        <w:rPr>
          <w:b/>
        </w:rPr>
        <w:t>Objective:</w:t>
      </w:r>
      <w:r>
        <w:rPr>
          <w:b w:val="0"/>
        </w:rPr>
        <w:t xml:space="preserve"> Align Isometric and the VVB on scope and sequence early, so re-validation and first verification are not the bottleneck.</w:t>
      </w:r>
    </w:p>
    <w:p>
      <w:pPr>
        <w:pStyle w:val="ListBullet"/>
        <w:spacing w:after="40"/>
      </w:pPr>
      <w:r>
        <w:rPr>
          <w:b w:val="0"/>
        </w:rPr>
        <w:t>Notify Isometric / 350Solutions of the commissioning and agree whether this is a PDD amendment that retains validation or a broader re-validation, and confirm v1.2 adoption timing (Gate 0).</w:t>
      </w:r>
    </w:p>
    <w:p>
      <w:pPr>
        <w:pStyle w:val="ListBullet"/>
        <w:spacing w:after="40"/>
      </w:pPr>
      <w:r>
        <w:rPr>
          <w:b w:val="0"/>
        </w:rPr>
        <w:t>Agree the re-validation scope against the updated reactor documentation (Workstream A) and version basis.</w:t>
      </w:r>
    </w:p>
    <w:p>
      <w:pPr>
        <w:pStyle w:val="ListBullet"/>
        <w:spacing w:after="40"/>
      </w:pPr>
      <w:r>
        <w:rPr>
          <w:b w:val="0"/>
        </w:rPr>
        <w:t>Re-agree and document the random carbon-sampling cadence in the PDD (Bio-oil §8.3.1.1).</w:t>
      </w:r>
    </w:p>
    <w:p>
      <w:pPr>
        <w:pStyle w:val="ListBullet"/>
        <w:spacing w:after="40"/>
      </w:pPr>
      <w:r>
        <w:rPr>
          <w:b w:val="0"/>
        </w:rPr>
        <w:t>Confirm the dry-storage-exemption change and the §7.3 wet-storage arrangement for the new char (Workstream F).</w:t>
      </w:r>
    </w:p>
    <w:p>
      <w:pPr>
        <w:pStyle w:val="ListBullet"/>
        <w:spacing w:after="40"/>
      </w:pPr>
      <w:r>
        <w:rPr>
          <w:b w:val="0"/>
        </w:rPr>
        <w:t>Coordinate the site visit and any witnessing of the emissions-test campaign (Workstream D).</w:t>
      </w:r>
    </w:p>
    <w:p>
      <w:pPr>
        <w:pStyle w:val="ListBullet"/>
        <w:spacing w:after="40"/>
      </w:pPr>
      <w:r>
        <w:rPr>
          <w:b w:val="0"/>
        </w:rPr>
        <w:t>Track against the current service-level agreement — 1 working day to acknowledge, 5 working days substantive, ~2 working weeks to verify.</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start now, runs in parallel]    </w:t>
      </w:r>
      <w:r>
        <w:rPr>
          <w:b/>
          <w:color w:val="1F3864"/>
          <w:sz w:val="19"/>
        </w:rPr>
        <w:t xml:space="preserve">Gate: </w:t>
      </w:r>
      <w:r>
        <w:rPr>
          <w:sz w:val="19"/>
        </w:rPr>
        <w:t>Re-validation gates the first creditable batch</w:t>
      </w:r>
    </w:p>
    <w:p>
      <w:pPr>
        <w:keepNext/>
        <w:spacing w:before="200" w:after="40"/>
      </w:pPr>
      <w:r>
        <w:rPr>
          <w:b/>
          <w:color w:val="1F3864"/>
          <w:sz w:val="23"/>
        </w:rPr>
        <w:t>I.  Documentation, records &amp; data retention</w:t>
      </w:r>
    </w:p>
    <w:p>
      <w:pPr>
        <w:spacing w:after="120"/>
      </w:pPr>
      <w:r>
        <w:rPr>
          <w:b w:val="0"/>
        </w:rPr>
      </w:r>
      <w:r>
        <w:rPr>
          <w:b/>
        </w:rPr>
        <w:t>Objective:</w:t>
      </w:r>
      <w:r>
        <w:rPr>
          <w:b w:val="0"/>
        </w:rPr>
        <w:t xml:space="preserve"> Keep the evidence trail the protocols and module require.</w:t>
      </w:r>
    </w:p>
    <w:p>
      <w:pPr>
        <w:pStyle w:val="ListBullet"/>
        <w:spacing w:after="40"/>
      </w:pPr>
      <w:r>
        <w:rPr>
          <w:b w:val="0"/>
        </w:rPr>
        <w:t>Retain ≥5 years: carbon-content analyses, weigh-scale tickets, calibration records for all meters/analyzers, manufacturer manuals, emissions-test reports, raw flow/temperature/pressure data, the biochar characterization dataset — plus a dried ~100 g biochar subsample archived per batch (storage module §4.3).</w:t>
      </w:r>
    </w:p>
    <w:p>
      <w:pPr>
        <w:pStyle w:val="ListBullet"/>
        <w:spacing w:after="40"/>
      </w:pPr>
      <w:r>
        <w:rPr>
          <w:b w:val="0"/>
        </w:rPr>
        <w:t>Assign unique batch IDs across new-unit production and maintain chain-of-custody from production through injection (bio-oil) or application/mixing (biochar).</w:t>
      </w:r>
    </w:p>
    <w:p>
      <w:pPr>
        <w:pStyle w:val="ListBullet"/>
        <w:spacing w:after="40"/>
      </w:pPr>
      <w:r>
        <w:rPr>
          <w:b w:val="0"/>
        </w:rPr>
        <w:t>Version-control the PDD, SOPs, and design diagrams so the validated configuration is always identifiable.</w:t>
      </w:r>
    </w:p>
    <w:p>
      <w:pPr>
        <w:spacing w:before="40" w:after="160"/>
      </w:pPr>
      <w:r>
        <w:rPr>
          <w:b/>
          <w:color w:val="1F3864"/>
          <w:sz w:val="19"/>
        </w:rPr>
        <w:t xml:space="preserve">Owner: </w:t>
      </w:r>
      <w:r>
        <w:rPr>
          <w:sz w:val="19"/>
        </w:rPr>
        <w:t xml:space="preserve">[assign]    </w:t>
      </w:r>
      <w:r>
        <w:rPr>
          <w:b/>
          <w:color w:val="1F3864"/>
          <w:sz w:val="19"/>
        </w:rPr>
        <w:t xml:space="preserve">Target window: </w:t>
      </w:r>
      <w:r>
        <w:rPr>
          <w:sz w:val="19"/>
        </w:rPr>
        <w:t xml:space="preserve">[assign — standing]    </w:t>
      </w:r>
      <w:r>
        <w:rPr>
          <w:b/>
          <w:color w:val="1F3864"/>
          <w:sz w:val="19"/>
        </w:rPr>
        <w:t xml:space="preserve">Gate: </w:t>
      </w:r>
      <w:r>
        <w:rPr>
          <w:sz w:val="19"/>
        </w:rPr>
        <w:t>Ongoing from first new-unit batch</w:t>
      </w:r>
    </w:p>
    <w:p>
      <w:pPr>
        <w:keepNext/>
        <w:spacing w:before="280" w:after="80"/>
        <w:shd w:val="clear" w:color="auto" w:fill="D6E4F0"/>
        <w:ind w:left="80"/>
      </w:pPr>
      <w:r>
        <w:rPr>
          <w:b/>
          <w:color w:val="1F3864"/>
          <w:sz w:val="28"/>
        </w:rPr>
        <w:t>4.  Critical path — what must be true before the first creditable batch</w:t>
      </w:r>
    </w:p>
    <w:p>
      <w:pPr>
        <w:spacing w:after="120"/>
      </w:pPr>
      <w:r>
        <w:rPr>
          <w:b w:val="0"/>
        </w:rPr>
        <w:t>Rough dependency order. The long-lead items are reactor re-validation, the emissions-test campaign, and the start of the characterization clock — begin all three as early as possible.</w:t>
      </w:r>
    </w:p>
    <w:p>
      <w:pPr>
        <w:spacing w:after="60"/>
        <w:ind w:left="120"/>
      </w:pPr>
      <w:r>
        <w:rPr>
          <w:b/>
          <w:color w:val="1F3864"/>
        </w:rPr>
        <w:t xml:space="preserve">1.  </w:t>
      </w:r>
      <w:r>
        <w:t>Settle Gate 0 — v1.2 adoption timing + confirm the reactor is a design change (Section 2).</w:t>
      </w:r>
    </w:p>
    <w:p>
      <w:pPr>
        <w:spacing w:after="60"/>
        <w:ind w:left="120"/>
      </w:pPr>
      <w:r>
        <w:rPr>
          <w:b/>
          <w:color w:val="1F3864"/>
        </w:rPr>
        <w:t xml:space="preserve">2.  </w:t>
      </w:r>
      <w:r>
        <w:t>Rewrite the PDD against the update register and produce the new reactor documentation (Workstream A). Long lead.</w:t>
      </w:r>
    </w:p>
    <w:p>
      <w:pPr>
        <w:spacing w:after="60"/>
        <w:ind w:left="120"/>
      </w:pPr>
      <w:r>
        <w:rPr>
          <w:b/>
          <w:color w:val="1F3864"/>
        </w:rPr>
        <w:t xml:space="preserve">3.  </w:t>
      </w:r>
      <w:r>
        <w:t>Open the verifier conversation and agree re-validation scope (Workstream H). Parallel with 2.</w:t>
      </w:r>
    </w:p>
    <w:p>
      <w:pPr>
        <w:spacing w:after="60"/>
        <w:ind w:left="120"/>
      </w:pPr>
      <w:r>
        <w:rPr>
          <w:b/>
          <w:color w:val="1F3864"/>
        </w:rPr>
        <w:t xml:space="preserve">4.  </w:t>
      </w:r>
      <w:r>
        <w:t>Characterize the new char early enough to confirm H/C_org &lt; 0.5 and O/C_org &lt; 0.2 (Workstream C) — go/no-go before committing production.</w:t>
      </w:r>
    </w:p>
    <w:p>
      <w:pPr>
        <w:spacing w:after="60"/>
        <w:ind w:left="120"/>
      </w:pPr>
      <w:r>
        <w:rPr>
          <w:b/>
          <w:color w:val="1F3864"/>
        </w:rPr>
        <w:t xml:space="preserve">5.  </w:t>
      </w:r>
      <w:r>
        <w:t>Begin carbon-content sampling at first production — the Method-A clock starts here, ~30 batches per feedstock (Workstreams B, C).</w:t>
      </w:r>
    </w:p>
    <w:p>
      <w:pPr>
        <w:spacing w:after="60"/>
        <w:ind w:left="120"/>
      </w:pPr>
      <w:r>
        <w:rPr>
          <w:b/>
          <w:color w:val="1F3864"/>
        </w:rPr>
        <w:t xml:space="preserve">6.  </w:t>
      </w:r>
      <w:r>
        <w:t>Run the accredited stack-testing campaign covering biochar operation emissions and bio-oil tailgas (Workstream D).</w:t>
      </w:r>
    </w:p>
    <w:p>
      <w:pPr>
        <w:spacing w:after="60"/>
        <w:ind w:left="120"/>
      </w:pPr>
      <w:r>
        <w:rPr>
          <w:b/>
          <w:color w:val="1F3864"/>
        </w:rPr>
        <w:t xml:space="preserve">7.  </w:t>
      </w:r>
      <w:r>
        <w:t>Re-baseline energy use, embodied emissions, and co-product allocation (Workstream E).</w:t>
      </w:r>
    </w:p>
    <w:p>
      <w:pPr>
        <w:spacing w:after="60"/>
        <w:ind w:left="120"/>
      </w:pPr>
      <w:r>
        <w:rPr>
          <w:b/>
          <w:color w:val="1F3864"/>
        </w:rPr>
        <w:t xml:space="preserve">8.  </w:t>
      </w:r>
      <w:r>
        <w:t>Stand up the wet-storage program and safety reclassification before any new-unit char moves (Workstream F).</w:t>
      </w:r>
    </w:p>
    <w:p>
      <w:pPr>
        <w:spacing w:after="60"/>
        <w:ind w:left="120"/>
      </w:pPr>
      <w:r>
        <w:rPr>
          <w:b/>
          <w:color w:val="1F3864"/>
        </w:rPr>
        <w:t xml:space="preserve">9.  </w:t>
      </w:r>
      <w:r>
        <w:t>Build Certify / GHG accounting incl. the new tailgas component and re-derived uncertainty (Workstream G).</w:t>
      </w:r>
    </w:p>
    <w:p>
      <w:pPr>
        <w:spacing w:after="60"/>
        <w:ind w:left="120"/>
      </w:pPr>
      <w:r>
        <w:rPr>
          <w:b/>
          <w:color w:val="1F3864"/>
        </w:rPr>
        <w:t xml:space="preserve">10.  </w:t>
      </w:r>
      <w:r>
        <w:t>Complete re-validation, then verify the first reporting period on the new units (Workstream H).</w:t>
      </w:r>
    </w:p>
    <w:p>
      <w:pPr>
        <w:keepNext/>
        <w:spacing w:before="280" w:after="80"/>
        <w:shd w:val="clear" w:color="auto" w:fill="D6E4F0"/>
        <w:ind w:left="80"/>
      </w:pPr>
      <w:r>
        <w:rPr>
          <w:b/>
          <w:color w:val="1F3864"/>
          <w:sz w:val="28"/>
        </w:rPr>
        <w:t>5.  What's easy to miss</w:t>
      </w:r>
    </w:p>
    <w:p>
      <w:pPr>
        <w:spacing w:after="120"/>
      </w:pPr>
      <w:r>
        <w:rPr>
          <w:b w:val="0"/>
        </w:rPr>
        <w:t>Your notes cover the wetting program, the characterization reset, the stack testing, and the PDD rewrites. Reading the v1.2 protocols, the storage module, and PDD v1.12 end to end, these are the items easiest to leave off the list:</w:t>
      </w:r>
    </w:p>
    <w:p>
      <w:pPr>
        <w:pStyle w:val="ListBullet"/>
        <w:spacing w:after="80"/>
      </w:pPr>
      <w:r>
        <w:rPr>
          <w:b/>
        </w:rPr>
        <w:t xml:space="preserve">The durability thresholds are a go/no-go, not paperwork.  </w:t>
      </w:r>
      <w:r>
        <w:t>Molar H/C_org &lt; 0.5 and O/C_org &lt; 0.2 gate eligibility entirely. Characterize the new char before committing production. Workstream C, Section 1.</w:t>
      </w:r>
    </w:p>
    <w:p>
      <w:pPr>
        <w:pStyle w:val="ListBullet"/>
        <w:spacing w:after="80"/>
      </w:pPr>
      <w:r>
        <w:rPr>
          <w:b/>
        </w:rPr>
        <w:t xml:space="preserve">The bio-oil tailgas obligation (§8.5.6) is genuinely new.  </w:t>
      </w:r>
      <w:r>
        <w:t>Absent in v1.1; adopting v1.2 adds a methane-in-tailgas measurement on the bio-oil side. Workstream D2.</w:t>
      </w:r>
    </w:p>
    <w:p>
      <w:pPr>
        <w:pStyle w:val="ListBullet"/>
        <w:spacing w:after="80"/>
      </w:pPr>
      <w:r>
        <w:rPr>
          <w:b/>
        </w:rPr>
        <w:t xml:space="preserve">The one-time biochar parameters re-trigger on a reactor change.  </w:t>
      </w:r>
      <w:r>
        <w:t>Nitrogen, oxygen, sulfur, pH, salt, nutrients, bulk density, heavy metals, PAH, dioxins, PCBs are all “at validation unless feedstock/reactor/process change.” Workstream C2.</w:t>
      </w:r>
    </w:p>
    <w:p>
      <w:pPr>
        <w:pStyle w:val="ListBullet"/>
        <w:spacing w:after="80"/>
      </w:pPr>
      <w:r>
        <w:rPr>
          <w:b/>
        </w:rPr>
        <w:t xml:space="preserve">The PDD reactor spec is hard-coded and specific.  </w:t>
      </w:r>
      <w:r>
        <w:t>Appendix 11 names the reactor type, an 83 kg/hr throughput, A36-steel/ceramic construction, an 800°C max, and a sub-atmospheric pressure claim that exempts pressure-vessel rules — every one of which the new generation can break. Workstream A2 register.</w:t>
      </w:r>
    </w:p>
    <w:p>
      <w:pPr>
        <w:pStyle w:val="ListBullet"/>
        <w:spacing w:after="80"/>
      </w:pPr>
      <w:r>
        <w:rPr>
          <w:b/>
        </w:rPr>
        <w:t xml:space="preserve">Co-product allocation re-runs for both pathways.  </w:t>
      </w:r>
      <w:r>
        <w:t>A new yield split shifts the energy-content fraction assigned to bio-oil vs. biochar vs. gas. Workstream E.</w:t>
      </w:r>
    </w:p>
    <w:p>
      <w:pPr>
        <w:pStyle w:val="ListBullet"/>
        <w:spacing w:after="80"/>
      </w:pPr>
      <w:r>
        <w:rPr>
          <w:b/>
        </w:rPr>
        <w:t xml:space="preserve">The process emission factor moves with energy use.  </w:t>
      </w:r>
      <w:r>
        <w:t>New units consume differently, so the pyrolysis process factor changes — a top CI driver. Workstream E.</w:t>
      </w:r>
    </w:p>
    <w:p>
      <w:pPr>
        <w:pStyle w:val="ListBullet"/>
        <w:spacing w:after="80"/>
      </w:pPr>
      <w:r>
        <w:rPr>
          <w:b/>
        </w:rPr>
        <w:t xml:space="preserve">Embodied emissions of the new equipment.  </w:t>
      </w:r>
      <w:r>
        <w:t>The reactor, quench/condenser, char-collection and flare/oxidizer are named in-scope for embodied accounting. Workstream E.</w:t>
      </w:r>
    </w:p>
    <w:p>
      <w:pPr>
        <w:pStyle w:val="ListBullet"/>
        <w:spacing w:after="80"/>
      </w:pPr>
      <w:r>
        <w:rPr>
          <w:b/>
        </w:rPr>
        <w:t xml:space="preserve">Uncertainty inputs must be re-derived.  </w:t>
      </w:r>
      <w:r>
        <w:t>New measurement equipment and a new mass basis change the per-datapoint uncertainties that drive the discount. Workstream G.</w:t>
      </w:r>
    </w:p>
    <w:p>
      <w:pPr>
        <w:pStyle w:val="ListBullet"/>
        <w:spacing w:after="80"/>
      </w:pPr>
      <w:r>
        <w:rPr>
          <w:b/>
        </w:rPr>
        <w:t xml:space="preserve">The ~30-batch Method-A burden.  </w:t>
      </w:r>
      <w:r>
        <w:t>Prior samples don't carry over, so the first ~30 production batches per feedstock carry full per-batch sampling. Plan lab capacity. Workstreams B, C.</w:t>
      </w:r>
    </w:p>
    <w:p>
      <w:pPr>
        <w:pStyle w:val="ListBullet"/>
        <w:spacing w:after="80"/>
      </w:pPr>
      <w:r>
        <w:rPr>
          <w:b/>
        </w:rPr>
        <w:t xml:space="preserve">Air permits, N₂O, and leakage monitoring.  </w:t>
      </w:r>
      <w:r>
        <w:t>New units may need permit updates; low carbon-to-nitrogen feedstocks trigger an N₂O monitor-or-justify step; a pressurized reactor triggers leakage monitoring. Workstream D.</w:t>
      </w:r>
    </w:p>
    <w:p>
      <w:pPr>
        <w:pStyle w:val="ListBullet"/>
        <w:spacing w:after="80"/>
      </w:pPr>
      <w:r>
        <w:rPr>
          <w:b/>
        </w:rPr>
        <w:t xml:space="preserve">Transport reclassification of self-heating char.  </w:t>
      </w:r>
      <w:r>
        <w:t>The failed Fauske test changes the transport hazard classification and handling controls, not just storage. Workstream F.</w:t>
      </w:r>
    </w:p>
    <w:p>
      <w:pPr>
        <w:pStyle w:val="ListBullet"/>
        <w:spacing w:after="80"/>
      </w:pPr>
      <w:r>
        <w:rPr>
          <w:b/>
        </w:rPr>
        <w:t xml:space="preserve">Validation path: amendment vs. new validation.  </w:t>
      </w:r>
      <w:r>
        <w:t>Whether the project keeps its validation via a PDD amendment or needs broader re-validation changes the timeline. Settle with Isometric up front. Workstream H.</w:t>
      </w:r>
    </w:p>
    <w:p>
      <w:pPr>
        <w:keepNext/>
        <w:spacing w:before="280" w:after="80"/>
        <w:shd w:val="clear" w:color="auto" w:fill="D6E4F0"/>
        <w:ind w:left="80"/>
      </w:pPr>
      <w:r>
        <w:rPr>
          <w:b/>
          <w:color w:val="1F3864"/>
          <w:sz w:val="28"/>
        </w:rPr>
        <w:t>6.  Open decisions to resolve</w:t>
      </w:r>
    </w:p>
    <w:p>
      <w:pPr>
        <w:pStyle w:val="ListBullet"/>
        <w:spacing w:after="40"/>
      </w:pPr>
      <w:r>
        <w:rPr>
          <w:b w:val="0"/>
        </w:rPr>
        <w:t>v1.2 adoption timing for each protocol (Gate 0).</w:t>
      </w:r>
    </w:p>
    <w:p>
      <w:pPr>
        <w:pStyle w:val="ListBullet"/>
        <w:spacing w:after="40"/>
      </w:pPr>
      <w:r>
        <w:rPr>
          <w:b w:val="0"/>
        </w:rPr>
        <w:t>Biochar durability crediting option: 200-year (Option 1), 1,000-year (Option 2), or combined tiers under one validation (§5.1.3).</w:t>
      </w:r>
    </w:p>
    <w:p>
      <w:pPr>
        <w:pStyle w:val="ListBullet"/>
        <w:spacing w:after="40"/>
      </w:pPr>
      <w:r>
        <w:rPr>
          <w:b w:val="0"/>
        </w:rPr>
        <w:t>Emissions quantification method: continuous direct measurement vs. regular annual testing — Workstream D1.</w:t>
      </w:r>
    </w:p>
    <w:p>
      <w:pPr>
        <w:pStyle w:val="ListBullet"/>
        <w:spacing w:after="40"/>
      </w:pPr>
      <w:r>
        <w:rPr>
          <w:b w:val="0"/>
        </w:rPr>
        <w:t>PAH route for biochar: routine testing vs. the pre-agreed risk-mitigation route for high-tech continuous production — Workstream C2.</w:t>
      </w:r>
    </w:p>
    <w:p>
      <w:pPr>
        <w:pStyle w:val="ListBullet"/>
        <w:spacing w:after="40"/>
      </w:pPr>
      <w:r>
        <w:rPr>
          <w:b w:val="0"/>
        </w:rPr>
        <w:t>Validation path: PDD amendment vs. re-validation — confirm with Isometric.</w:t>
      </w:r>
    </w:p>
    <w:p>
      <w:pPr>
        <w:pStyle w:val="ListBullet"/>
        <w:spacing w:after="40"/>
      </w:pPr>
      <w:r>
        <w:rPr>
          <w:b w:val="0"/>
        </w:rPr>
        <w:t>Owners and target dates for every workstream (left blank here by design).</w:t>
      </w:r>
    </w:p>
    <w:p>
      <w:pPr>
        <w:keepNext/>
        <w:spacing w:before="280" w:after="80"/>
        <w:shd w:val="clear" w:color="auto" w:fill="D6E4F0"/>
        <w:ind w:left="80"/>
      </w:pPr>
      <w:r>
        <w:rPr>
          <w:b/>
          <w:color w:val="1F3864"/>
          <w:sz w:val="28"/>
        </w:rPr>
        <w:t>7.  Sources read for this plan</w:t>
      </w:r>
    </w:p>
    <w:p>
      <w:pPr>
        <w:pStyle w:val="ListBullet"/>
        <w:spacing w:after="40"/>
      </w:pPr>
      <w:r>
        <w:rPr>
          <w:sz w:val="19"/>
        </w:rPr>
        <w:t>Bio-oil Geological Storage v1.2 — Isometric (§7.2, §8.1–8.5.6, §9). Read directly.</w:t>
      </w:r>
    </w:p>
    <w:p>
      <w:pPr>
        <w:pStyle w:val="ListBullet"/>
        <w:spacing w:after="40"/>
      </w:pPr>
      <w:r>
        <w:rPr>
          <w:sz w:val="19"/>
        </w:rPr>
        <w:t>Biochar Production and Storage v1.2 — Isometric (§8.3, §8.6.5, §9, §10, §11, §12). Read directly.</w:t>
      </w:r>
    </w:p>
    <w:p>
      <w:pPr>
        <w:pStyle w:val="ListBullet"/>
        <w:spacing w:after="40"/>
      </w:pPr>
      <w:r>
        <w:rPr>
          <w:sz w:val="19"/>
        </w:rPr>
        <w:t>Biochar Storage in Soil Environments v1.2 — Isometric (§§1–7 in full incl. Tables 1–4, §8 Appendix I, §9 Appendix II through §9.4). Read line by line.</w:t>
      </w:r>
    </w:p>
    <w:p>
      <w:pPr>
        <w:pStyle w:val="ListBullet"/>
        <w:spacing w:after="40"/>
      </w:pPr>
      <w:r>
        <w:rPr>
          <w:sz w:val="19"/>
        </w:rPr>
        <w:t>Charm PDD v1.12 (Bio-Oil Geologic Storage + Range &amp; Plains Biochar) — Section A, Section B monitoring inventory, Appendices 10 and 11. Read directly, including table text.</w:t>
      </w:r>
    </w:p>
    <w:p>
      <w:pPr>
        <w:pStyle w:val="ListBullet"/>
        <w:spacing w:after="40"/>
      </w:pPr>
      <w:r>
        <w:rPr>
          <w:sz w:val="19"/>
        </w:rPr>
        <w:t>Charm Isometric Verification Knowledge Base (internal) — operating context, versions in force, and the biochar registry record (Range &amp; Plains).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