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p>
    <w:p>
      <w:pPr>
        <w:jc w:val="center"/>
      </w:pPr>
      <w:r>
        <w:rPr>
          <w:b/>
          <w:i w:val="0"/>
          <w:color w:val="006B3C"/>
          <w:sz w:val="36"/>
        </w:rPr>
        <w:t>CHARM INDUSTRIAL</w:t>
      </w:r>
    </w:p>
    <w:p>
      <w:pPr>
        <w:jc w:val="center"/>
      </w:pPr>
      <w:r>
        <w:rPr>
          <w:b/>
          <w:i w:val="0"/>
          <w:color w:val="003366"/>
          <w:sz w:val="30"/>
        </w:rPr>
        <w:t>RSB Global Advanced Fuels vs. RSB ICAO CORSIA</w:t>
      </w:r>
    </w:p>
    <w:p>
      <w:pPr>
        <w:jc w:val="center"/>
      </w:pPr>
      <w:r>
        <w:rPr>
          <w:b w:val="0"/>
          <w:i w:val="0"/>
          <w:color w:val="003366"/>
          <w:sz w:val="26"/>
        </w:rPr>
        <w:t>Attribution Method &amp; GHG Threshold Comparison</w:t>
      </w:r>
    </w:p>
    <w:p>
      <w:pPr>
        <w:jc w:val="center"/>
      </w:pPr>
      <w:r>
        <w:rPr>
          <w:b/>
          <w:i/>
          <w:color w:val="CC0000"/>
          <w:sz w:val="20"/>
        </w:rPr>
        <w:t>June 2026  |  DRAFT — INTERNAL USE ONLY</w:t>
      </w:r>
    </w:p>
    <w:p>
      <w:pPr>
        <w:spacing w:before="200" w:after="80"/>
      </w:pPr>
    </w:p>
    <w:p>
      <w:pPr>
        <w:spacing w:before="40" w:after="80"/>
      </w:pPr>
      <w:r>
        <w:rPr>
          <w:b w:val="0"/>
          <w:i/>
          <w:sz w:val="18"/>
        </w:rPr>
        <w:t>This memo compares RSB Global Advanced Fuels (RSB-STD-01-010 v2.8) and RSB ICAO CORSIA (RSB-STD-12-001 v1.6) on the specific questions of (a) how biogenic credit is attributed to SAF in a co-processing refinery scenario and (b) what GHG intensity thresholds apply. All formulas are cited to primary sources read this session. Assumptions are explicitly labeled.</w:t>
      </w:r>
    </w:p>
    <w:p>
      <w:r>
        <w:br w:type="page"/>
      </w:r>
    </w:p>
    <w:p>
      <w:pPr>
        <w:spacing w:before="200" w:after="80"/>
      </w:pPr>
      <w:r>
        <w:rPr>
          <w:b/>
          <w:i w:val="0"/>
          <w:caps/>
          <w:color w:val="003366"/>
          <w:sz w:val="30"/>
        </w:rPr>
        <w:t>PART 1: SCHEME OVERVIEW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r>
          </w:p>
        </w:tc>
        <w:tc>
          <w:tcPr>
            <w:tcW w:type="dxa" w:w="3120"/>
            <w:shd w:val="clear" w:color="auto" w:fill="003366"/>
          </w:tcPr>
          <w:p>
            <w:r>
              <w:rPr>
                <w:b/>
                <w:i w:val="0"/>
                <w:color w:val="FFFFFF"/>
                <w:sz w:val="20"/>
              </w:rPr>
              <w:t>RSB Global Advanced Fuels</w:t>
            </w:r>
          </w:p>
        </w:tc>
        <w:tc>
          <w:tcPr>
            <w:tcW w:type="dxa" w:w="3120"/>
            <w:shd w:val="clear" w:color="auto" w:fill="003366"/>
          </w:tcPr>
          <w:p>
            <w:r>
              <w:rPr>
                <w:b/>
                <w:i w:val="0"/>
                <w:color w:val="FFFFFF"/>
                <w:sz w:val="20"/>
              </w:rPr>
              <w:t>RSB ICAO CORSIA</w:t>
            </w:r>
          </w:p>
        </w:tc>
      </w:tr>
      <w:tr>
        <w:tc>
          <w:tcPr>
            <w:tcW w:type="dxa" w:w="3120"/>
          </w:tcPr>
          <w:p>
            <w:r>
              <w:rPr>
                <w:b/>
                <w:i w:val="0"/>
                <w:sz w:val="18"/>
              </w:rPr>
              <w:t>Standard</w:t>
            </w:r>
          </w:p>
        </w:tc>
        <w:tc>
          <w:tcPr>
            <w:tcW w:type="dxa" w:w="3120"/>
          </w:tcPr>
          <w:p>
            <w:r>
              <w:rPr>
                <w:b w:val="0"/>
                <w:i w:val="0"/>
                <w:sz w:val="18"/>
              </w:rPr>
              <w:t>RSB-STD-01-010 v2.8 (April 2026)</w:t>
            </w:r>
          </w:p>
        </w:tc>
        <w:tc>
          <w:tcPr>
            <w:tcW w:type="dxa" w:w="3120"/>
          </w:tcPr>
          <w:p>
            <w:r>
              <w:rPr>
                <w:b w:val="0"/>
                <w:i w:val="0"/>
                <w:sz w:val="18"/>
              </w:rPr>
              <w:t>RSB-STD-12-001 v1.6 (June 2025)</w:t>
            </w:r>
          </w:p>
        </w:tc>
      </w:tr>
      <w:tr>
        <w:tc>
          <w:tcPr>
            <w:tcW w:type="dxa" w:w="3120"/>
          </w:tcPr>
          <w:p>
            <w:r>
              <w:rPr>
                <w:b/>
                <w:i w:val="0"/>
                <w:sz w:val="18"/>
              </w:rPr>
              <w:t>Type</w:t>
            </w:r>
          </w:p>
        </w:tc>
        <w:tc>
          <w:tcPr>
            <w:tcW w:type="dxa" w:w="3120"/>
          </w:tcPr>
          <w:p>
            <w:r>
              <w:rPr>
                <w:b w:val="0"/>
                <w:i w:val="0"/>
                <w:sz w:val="18"/>
              </w:rPr>
              <w:t>Voluntary global scheme</w:t>
            </w:r>
          </w:p>
        </w:tc>
        <w:tc>
          <w:tcPr>
            <w:tcW w:type="dxa" w:w="3120"/>
          </w:tcPr>
          <w:p>
            <w:r>
              <w:rPr>
                <w:b w:val="0"/>
                <w:i w:val="0"/>
                <w:sz w:val="18"/>
              </w:rPr>
              <w:t>Regulatory scheme — ICAO CORSIA compliance</w:t>
            </w:r>
          </w:p>
        </w:tc>
      </w:tr>
      <w:tr>
        <w:tc>
          <w:tcPr>
            <w:tcW w:type="dxa" w:w="3120"/>
          </w:tcPr>
          <w:p>
            <w:r>
              <w:rPr>
                <w:b/>
                <w:i w:val="0"/>
                <w:sz w:val="18"/>
              </w:rPr>
              <w:t>Governing body</w:t>
            </w:r>
          </w:p>
        </w:tc>
        <w:tc>
          <w:tcPr>
            <w:tcW w:type="dxa" w:w="3120"/>
          </w:tcPr>
          <w:p>
            <w:r>
              <w:rPr>
                <w:b w:val="0"/>
                <w:i w:val="0"/>
                <w:sz w:val="18"/>
              </w:rPr>
              <w:t>RSB Secretariat</w:t>
            </w:r>
          </w:p>
        </w:tc>
        <w:tc>
          <w:tcPr>
            <w:tcW w:type="dxa" w:w="3120"/>
          </w:tcPr>
          <w:p>
            <w:r>
              <w:rPr>
                <w:b w:val="0"/>
                <w:i w:val="0"/>
                <w:sz w:val="18"/>
              </w:rPr>
              <w:t>ICAO Council + RSB Secretariat</w:t>
            </w:r>
          </w:p>
        </w:tc>
      </w:tr>
      <w:tr>
        <w:tc>
          <w:tcPr>
            <w:tcW w:type="dxa" w:w="3120"/>
          </w:tcPr>
          <w:p>
            <w:r>
              <w:rPr>
                <w:b/>
                <w:i w:val="0"/>
                <w:sz w:val="18"/>
              </w:rPr>
              <w:t>Airline use</w:t>
            </w:r>
          </w:p>
        </w:tc>
        <w:tc>
          <w:tcPr>
            <w:tcW w:type="dxa" w:w="3120"/>
          </w:tcPr>
          <w:p>
            <w:r>
              <w:rPr>
                <w:b w:val="0"/>
                <w:i w:val="0"/>
                <w:sz w:val="18"/>
              </w:rPr>
              <w:t>Voluntary sustainability claims, brand/ESG</w:t>
            </w:r>
          </w:p>
        </w:tc>
        <w:tc>
          <w:tcPr>
            <w:tcW w:type="dxa" w:w="3120"/>
          </w:tcPr>
          <w:p>
            <w:r>
              <w:rPr>
                <w:b w:val="0"/>
                <w:i w:val="0"/>
                <w:sz w:val="18"/>
              </w:rPr>
              <w:t>Satisfies CORSIA offsetting obligation</w:t>
            </w:r>
          </w:p>
        </w:tc>
      </w:tr>
      <w:tr>
        <w:tc>
          <w:tcPr>
            <w:tcW w:type="dxa" w:w="3120"/>
          </w:tcPr>
          <w:p>
            <w:r>
              <w:rPr>
                <w:b/>
                <w:i w:val="0"/>
                <w:sz w:val="18"/>
              </w:rPr>
              <w:t>GHG minimum threshold</w:t>
            </w:r>
          </w:p>
        </w:tc>
        <w:tc>
          <w:tcPr>
            <w:tcW w:type="dxa" w:w="3120"/>
          </w:tcPr>
          <w:p>
            <w:r>
              <w:rPr>
                <w:b w:val="0"/>
                <w:i w:val="0"/>
                <w:sz w:val="18"/>
              </w:rPr>
              <w:t>65% savings vs. 90 gCO2e/MJ = ≤31.5 gCO2e/MJ</w:t>
              <w:br/>
              <w:t>(RSB P&amp;C Criterion 3.b, via STD-01-010 §2.1.1)</w:t>
            </w:r>
          </w:p>
        </w:tc>
        <w:tc>
          <w:tcPr>
            <w:tcW w:type="dxa" w:w="3120"/>
          </w:tcPr>
          <w:p>
            <w:r>
              <w:rPr>
                <w:b w:val="0"/>
                <w:i w:val="0"/>
                <w:sz w:val="18"/>
              </w:rPr>
              <w:t>10% reduction vs. 89 gCO2e/MJ = ≤80.1 gCO2e/MJ</w:t>
              <w:br/>
              <w:t>(RSB-STD-12-001; ICAO CORSIA framework)</w:t>
            </w:r>
          </w:p>
        </w:tc>
      </w:tr>
      <w:tr>
        <w:tc>
          <w:tcPr>
            <w:tcW w:type="dxa" w:w="3120"/>
          </w:tcPr>
          <w:p>
            <w:r>
              <w:rPr>
                <w:b/>
                <w:i w:val="0"/>
                <w:sz w:val="18"/>
              </w:rPr>
              <w:t>Co-product allocation at pyrolyzer</w:t>
            </w:r>
          </w:p>
        </w:tc>
        <w:tc>
          <w:tcPr>
            <w:tcW w:type="dxa" w:w="3120"/>
          </w:tcPr>
          <w:p>
            <w:r>
              <w:rPr>
                <w:b w:val="0"/>
                <w:i w:val="0"/>
                <w:sz w:val="18"/>
              </w:rPr>
              <w:t>Economic allocation (mandatory)</w:t>
              <w:br/>
              <w:t>(RSB-STD-03-001 Table 1)</w:t>
            </w:r>
          </w:p>
        </w:tc>
        <w:tc>
          <w:tcPr>
            <w:tcW w:type="dxa" w:w="3120"/>
          </w:tcPr>
          <w:p>
            <w:r>
              <w:rPr>
                <w:b w:val="0"/>
                <w:i w:val="0"/>
                <w:sz w:val="18"/>
              </w:rPr>
              <w:t>Energy allocation (mandatory)</w:t>
              <w:br/>
              <w:t>(RSB-STD-12-001 §3.4.7.1)</w:t>
            </w:r>
          </w:p>
        </w:tc>
      </w:tr>
      <w:tr>
        <w:tc>
          <w:tcPr>
            <w:tcW w:type="dxa" w:w="3120"/>
          </w:tcPr>
          <w:p>
            <w:r>
              <w:rPr>
                <w:b/>
                <w:i w:val="0"/>
                <w:sz w:val="18"/>
              </w:rPr>
              <w:t>Attribution at refinery</w:t>
            </w:r>
          </w:p>
        </w:tc>
        <w:tc>
          <w:tcPr>
            <w:tcW w:type="dxa" w:w="3120"/>
          </w:tcPr>
          <w:p>
            <w:r>
              <w:rPr>
                <w:b w:val="0"/>
                <w:i w:val="0"/>
                <w:sz w:val="18"/>
              </w:rPr>
              <w:t>Flexible attribution: operator designates which output receives biogenic credit (optional) OR mass balance (proportional)</w:t>
            </w:r>
          </w:p>
        </w:tc>
        <w:tc>
          <w:tcPr>
            <w:tcW w:type="dxa" w:w="3120"/>
          </w:tcPr>
          <w:p>
            <w:r>
              <w:rPr>
                <w:b w:val="0"/>
                <w:i w:val="0"/>
                <w:sz w:val="18"/>
              </w:rPr>
              <w:t>Mass balance only: material-specific conversion factor; cannot transfer sustainability characteristic across material types</w:t>
            </w:r>
          </w:p>
        </w:tc>
      </w:tr>
      <w:tr>
        <w:tc>
          <w:tcPr>
            <w:tcW w:type="dxa" w:w="3120"/>
          </w:tcPr>
          <w:p>
            <w:r>
              <w:rPr>
                <w:b/>
                <w:i w:val="0"/>
                <w:sz w:val="18"/>
              </w:rPr>
              <w:t>C14 / physical measurement</w:t>
            </w:r>
          </w:p>
        </w:tc>
        <w:tc>
          <w:tcPr>
            <w:tcW w:type="dxa" w:w="3120"/>
          </w:tcPr>
          <w:p>
            <w:r>
              <w:rPr>
                <w:b w:val="0"/>
                <w:i w:val="0"/>
                <w:sz w:val="18"/>
              </w:rPr>
              <w:t>Not required under flexible attribution</w:t>
            </w:r>
          </w:p>
        </w:tc>
        <w:tc>
          <w:tcPr>
            <w:tcW w:type="dxa" w:w="3120"/>
          </w:tcPr>
          <w:p>
            <w:r>
              <w:rPr>
                <w:b w:val="0"/>
                <w:i w:val="0"/>
                <w:sz w:val="18"/>
              </w:rPr>
              <w:t>Required (or EN 16785-2 material balance)</w:t>
            </w:r>
          </w:p>
        </w:tc>
      </w:tr>
    </w:tbl>
    <w:p>
      <w:pPr>
        <w:spacing w:before="20" w:after="120"/>
      </w:pPr>
      <w:r>
        <w:rPr>
          <w:b w:val="0"/>
          <w:i/>
          <w:color w:val="555555"/>
          <w:sz w:val="16"/>
        </w:rPr>
        <w:t>Source: STD-01-010 v2.8 §2.1.1 (RSB P&amp;C applies to RSB Global); RSB P&amp;C Criterion 3.b (65% threshold); STD-03-001 v3.2 Table 1 (economic allocation); STD-03-001 v3.2 Table 2 (comparators); RSB-STD-12-001 v1.6 §3.4.5.5 (mass balance), §3.4.7.1 (energy allocation); RSB-STD-12-001 v1.6 lines 489-492 (10% threshold)</w:t>
      </w:r>
    </w:p>
    <w:p>
      <w:r>
        <w:br w:type="page"/>
      </w:r>
    </w:p>
    <w:p>
      <w:pPr>
        <w:spacing w:before="200" w:after="80"/>
      </w:pPr>
      <w:r>
        <w:rPr>
          <w:b/>
          <w:i w:val="0"/>
          <w:caps/>
          <w:color w:val="003366"/>
          <w:sz w:val="30"/>
        </w:rPr>
        <w:t>PART 2: ATTRIBUTION MECHANISM AT THE REFINERY</w:t>
      </w:r>
    </w:p>
    <w:p>
      <w:pPr>
        <w:spacing w:before="120" w:after="80"/>
      </w:pPr>
      <w:r>
        <w:rPr>
          <w:b/>
          <w:i w:val="0"/>
          <w:color w:val="003366"/>
          <w:sz w:val="24"/>
        </w:rPr>
        <w:t>2.1  RSB Global — Flexible Attribution (Annex IV)</w:t>
      </w:r>
    </w:p>
    <w:p>
      <w:pPr>
        <w:spacing w:before="40" w:after="80"/>
      </w:pPr>
      <w:r>
        <w:rPr>
          <w:b w:val="0"/>
          <w:i w:val="0"/>
          <w:sz w:val="20"/>
        </w:rPr>
        <w:t>STD-01-010 v2.8 Annex IV provides three steps. The operator's only free choice is which output stream receives the biogenic carbon label. Once designated, Steps 1-2 (carbon-mass basis) and Step 3 (energy-basis GHG allocation) are deterministic.</w:t>
      </w:r>
    </w:p>
    <w:p>
      <w:pPr>
        <w:spacing w:before="120" w:after="80"/>
      </w:pPr>
      <w:r>
        <w:rPr>
          <w:b/>
          <w:i w:val="0"/>
          <w:color w:val="003366"/>
          <w:sz w:val="20"/>
        </w:rPr>
        <w:t>Step 1 — Eligible carbon at output</w:t>
      </w:r>
    </w:p>
    <w:p>
      <w:pPr>
        <w:spacing w:after="80"/>
      </w:pPr>
      <w:r>
        <w:rPr>
          <w:b/>
          <w:i w:val="0"/>
          <w:sz w:val="22"/>
        </w:rPr>
        <w:t>Output</w:t>
      </w:r>
      <w:r>
        <w:rPr>
          <w:b w:val="0"/>
          <w:i w:val="0"/>
          <w:sz w:val="18"/>
        </w:rPr>
        <w:t>eligiblecarbon</w:t>
      </w:r>
      <w:r>
        <w:rPr>
          <w:b/>
          <w:i w:val="0"/>
          <w:sz w:val="22"/>
        </w:rPr>
        <w:t xml:space="preserve">  [t C]  =  m</w:t>
      </w:r>
      <w:r>
        <w:rPr>
          <w:b w:val="0"/>
          <w:i w:val="0"/>
          <w:sz w:val="18"/>
        </w:rPr>
        <w:t>eligible,f</w:t>
      </w:r>
      <w:r>
        <w:rPr>
          <w:b/>
          <w:i w:val="0"/>
          <w:sz w:val="22"/>
        </w:rPr>
        <w:t xml:space="preserve">  [t db]  ×  Carbon content</w:t>
      </w:r>
      <w:r>
        <w:rPr>
          <w:b w:val="0"/>
          <w:i w:val="0"/>
          <w:sz w:val="18"/>
        </w:rPr>
        <w:t>eligible,f</w:t>
      </w:r>
      <w:r>
        <w:rPr>
          <w:b/>
          <w:i w:val="0"/>
          <w:sz w:val="22"/>
        </w:rPr>
        <w:t xml:space="preserve">  (% w/w)  ×  ηCi</w:t>
      </w:r>
    </w:p>
    <w:p>
      <w:pPr>
        <w:pStyle w:val="ListBullet"/>
        <w:spacing w:after="40"/>
        <w:ind w:left="227"/>
      </w:pPr>
      <w:r>
        <w:rPr>
          <w:b w:val="0"/>
          <w:i w:val="0"/>
          <w:sz w:val="20"/>
        </w:rPr>
        <w:t>m eligible,f = mass of bio-oil feedstock, dry basis</w:t>
      </w:r>
    </w:p>
    <w:p>
      <w:pPr>
        <w:pStyle w:val="ListBullet"/>
        <w:spacing w:after="40"/>
        <w:ind w:left="227"/>
      </w:pPr>
      <w:r>
        <w:rPr>
          <w:b w:val="0"/>
          <w:i w:val="0"/>
          <w:sz w:val="20"/>
        </w:rPr>
        <w:t>Carbon content = carbon content of bio-oil (% w/w)</w:t>
      </w:r>
    </w:p>
    <w:p>
      <w:pPr>
        <w:pStyle w:val="ListBullet"/>
        <w:spacing w:after="40"/>
        <w:ind w:left="227"/>
      </w:pPr>
      <w:r>
        <w:rPr>
          <w:b w:val="0"/>
          <w:i w:val="0"/>
          <w:sz w:val="20"/>
        </w:rPr>
        <w:t>ηCi = carbon conversion efficiency — fraction of input carbon attached to final products; annual average</w:t>
      </w:r>
    </w:p>
    <w:p>
      <w:pPr>
        <w:spacing w:before="20" w:after="120"/>
      </w:pPr>
      <w:r>
        <w:rPr>
          <w:b w:val="0"/>
          <w:i/>
          <w:color w:val="555555"/>
          <w:sz w:val="16"/>
        </w:rPr>
        <w:t>Source: STD-01-010 v2.8 Annex IV formula [1], confirmed from PDF page 26</w:t>
      </w:r>
    </w:p>
    <w:p>
      <w:pPr>
        <w:spacing w:before="120" w:after="80"/>
      </w:pPr>
      <w:r>
        <w:rPr>
          <w:b/>
          <w:i w:val="0"/>
          <w:color w:val="003366"/>
          <w:sz w:val="20"/>
        </w:rPr>
        <w:t>Step 2 — Total supply of advanced fuel</w:t>
      </w:r>
    </w:p>
    <w:p>
      <w:pPr>
        <w:spacing w:after="80"/>
      </w:pPr>
      <w:r>
        <w:rPr>
          <w:b/>
          <w:i w:val="0"/>
          <w:sz w:val="22"/>
        </w:rPr>
        <w:t>TS</w:t>
      </w:r>
      <w:r>
        <w:rPr>
          <w:b w:val="0"/>
          <w:i w:val="0"/>
          <w:sz w:val="18"/>
        </w:rPr>
        <w:t>adv,fuel</w:t>
      </w:r>
      <w:r>
        <w:rPr>
          <w:b/>
          <w:i w:val="0"/>
          <w:sz w:val="22"/>
        </w:rPr>
        <w:t xml:space="preserve">  [t fuel]  =  Output</w:t>
      </w:r>
      <w:r>
        <w:rPr>
          <w:b w:val="0"/>
          <w:i w:val="0"/>
          <w:sz w:val="18"/>
        </w:rPr>
        <w:t>eligiblecarbon</w:t>
      </w:r>
      <w:r>
        <w:rPr>
          <w:b/>
          <w:i w:val="0"/>
          <w:sz w:val="22"/>
        </w:rPr>
        <w:t xml:space="preserve">  [t C]  ×  Output</w:t>
      </w:r>
      <w:r>
        <w:rPr>
          <w:b w:val="0"/>
          <w:i w:val="0"/>
          <w:sz w:val="18"/>
        </w:rPr>
        <w:t>Carbon content</w:t>
      </w:r>
      <w:r>
        <w:rPr>
          <w:b/>
          <w:i w:val="0"/>
          <w:sz w:val="22"/>
        </w:rPr>
        <w:t xml:space="preserve">  [t fuel(db) / t C]</w:t>
      </w:r>
    </w:p>
    <w:p>
      <w:pPr>
        <w:pStyle w:val="ListBullet"/>
        <w:spacing w:after="40"/>
        <w:ind w:left="227"/>
      </w:pPr>
      <w:r>
        <w:rPr>
          <w:b w:val="0"/>
          <w:i w:val="0"/>
          <w:sz w:val="20"/>
        </w:rPr>
        <w:t>Output Carbon content = t of advanced fuel per t of carbon = 1 ÷ (carbon fraction of fuel)</w:t>
      </w:r>
    </w:p>
    <w:p>
      <w:pPr>
        <w:pStyle w:val="ListBullet"/>
        <w:spacing w:after="40"/>
        <w:ind w:left="227"/>
      </w:pPr>
      <w:r>
        <w:rPr>
          <w:b w:val="0"/>
          <w:i w:val="0"/>
          <w:sz w:val="20"/>
        </w:rPr>
        <w:t>Confirmed by document example: 0.88 tC/t jet fuel and 9 t eligible C → 10.2 t fuel (= 9 × 1.136)</w:t>
      </w:r>
    </w:p>
    <w:p>
      <w:pPr>
        <w:spacing w:before="20" w:after="120"/>
      </w:pPr>
      <w:r>
        <w:rPr>
          <w:b w:val="0"/>
          <w:i/>
          <w:color w:val="555555"/>
          <w:sz w:val="16"/>
        </w:rPr>
        <w:t>Source: STD-01-010 v2.8 Annex IV formula [2], confirmed from PDF page 27</w:t>
      </w:r>
    </w:p>
    <w:p>
      <w:pPr>
        <w:spacing w:before="120" w:after="80"/>
      </w:pPr>
      <w:r>
        <w:rPr>
          <w:b/>
          <w:i w:val="0"/>
          <w:color w:val="003366"/>
          <w:sz w:val="20"/>
        </w:rPr>
        <w:t>Step 3 — GHG intensity (energy basis for allocation)</w:t>
      </w:r>
    </w:p>
    <w:p>
      <w:pPr>
        <w:spacing w:after="40"/>
      </w:pPr>
      <w:r>
        <w:rPr>
          <w:b/>
          <w:i w:val="0"/>
          <w:sz w:val="22"/>
        </w:rPr>
        <w:t>WtG</w:t>
      </w:r>
      <w:r>
        <w:rPr>
          <w:b w:val="0"/>
          <w:i w:val="0"/>
          <w:sz w:val="18"/>
        </w:rPr>
        <w:t>adv,fuel</w:t>
      </w:r>
      <w:r>
        <w:rPr>
          <w:b/>
          <w:i w:val="0"/>
          <w:sz w:val="22"/>
        </w:rPr>
        <w:t xml:space="preserve">  =  ( WtG</w:t>
      </w:r>
      <w:r>
        <w:rPr>
          <w:b w:val="0"/>
          <w:i w:val="0"/>
          <w:sz w:val="18"/>
        </w:rPr>
        <w:t>eligible,f</w:t>
      </w:r>
      <w:r>
        <w:rPr>
          <w:b/>
          <w:i w:val="0"/>
          <w:sz w:val="22"/>
        </w:rPr>
        <w:t xml:space="preserve">  ×  m</w:t>
      </w:r>
      <w:r>
        <w:rPr>
          <w:b w:val="0"/>
          <w:i w:val="0"/>
          <w:sz w:val="18"/>
        </w:rPr>
        <w:t>eligible,f</w:t>
      </w:r>
      <w:r>
        <w:rPr>
          <w:b/>
          <w:i w:val="0"/>
          <w:sz w:val="22"/>
        </w:rPr>
        <w:t xml:space="preserve">  +  WtG</w:t>
      </w:r>
      <w:r>
        <w:rPr>
          <w:b w:val="0"/>
          <w:i w:val="0"/>
          <w:sz w:val="18"/>
        </w:rPr>
        <w:t>inputs</w:t>
      </w:r>
      <w:r>
        <w:rPr>
          <w:b/>
          <w:i w:val="0"/>
          <w:sz w:val="22"/>
        </w:rPr>
        <w:t xml:space="preserve">  ×  AF )  ×  (1 / TS</w:t>
      </w:r>
      <w:r>
        <w:rPr>
          <w:b w:val="0"/>
          <w:i w:val="0"/>
          <w:sz w:val="18"/>
        </w:rPr>
        <w:t>adv,fuel</w:t>
      </w:r>
      <w:r>
        <w:rPr>
          <w:b/>
          <w:i w:val="0"/>
          <w:sz w:val="22"/>
        </w:rPr>
        <w:t xml:space="preserve"> )</w:t>
      </w:r>
    </w:p>
    <w:p>
      <w:pPr>
        <w:spacing w:after="80"/>
      </w:pPr>
      <w:r>
        <w:rPr>
          <w:b/>
          <w:i w:val="0"/>
          <w:sz w:val="22"/>
        </w:rPr>
        <w:t>AF  =  LHV</w:t>
      </w:r>
      <w:r>
        <w:rPr>
          <w:b w:val="0"/>
          <w:i w:val="0"/>
          <w:sz w:val="18"/>
        </w:rPr>
        <w:t>af</w:t>
      </w:r>
      <w:r>
        <w:rPr>
          <w:b/>
          <w:i w:val="0"/>
          <w:sz w:val="22"/>
        </w:rPr>
        <w:t xml:space="preserve">  [MJ/t fuel]  /  Total energy output  [MJ]</w:t>
      </w:r>
    </w:p>
    <w:p>
      <w:pPr>
        <w:pStyle w:val="ListBullet"/>
        <w:spacing w:after="40"/>
        <w:ind w:left="227"/>
      </w:pPr>
      <w:r>
        <w:rPr>
          <w:b w:val="0"/>
          <w:i w:val="0"/>
          <w:sz w:val="20"/>
        </w:rPr>
        <w:t>WtG eligible,f = full upstream GHG of bio-oil (t CO2eq/t db) — NO energy-basis AF discount applied to feedstock term</w:t>
      </w:r>
    </w:p>
    <w:p>
      <w:pPr>
        <w:pStyle w:val="ListBullet"/>
        <w:spacing w:after="40"/>
        <w:ind w:left="227"/>
      </w:pPr>
      <w:r>
        <w:rPr>
          <w:b w:val="0"/>
          <w:i w:val="0"/>
          <w:sz w:val="20"/>
        </w:rPr>
        <w:t>WtG inputs = upstream GHG of all inputs EXCLUDING eligible feedstock (crude oil, refinery utilities); AF is applied to this term only</w:t>
      </w:r>
    </w:p>
    <w:p>
      <w:pPr>
        <w:pStyle w:val="ListBullet"/>
        <w:spacing w:after="40"/>
        <w:ind w:left="227"/>
      </w:pPr>
      <w:r>
        <w:rPr>
          <w:b w:val="0"/>
          <w:i w:val="0"/>
          <w:sz w:val="20"/>
        </w:rPr>
        <w:t>AF = energy allocation factor; for Charm with SAF as ~2% of refinery total energy output: AF ≈ 2% [ASSUMPTION on refinery scale]</w:t>
      </w:r>
    </w:p>
    <w:p>
      <w:pPr>
        <w:pStyle w:val="ListBullet"/>
        <w:spacing w:after="40"/>
        <w:ind w:left="227"/>
      </w:pPr>
      <w:r>
        <w:rPr>
          <w:b w:val="0"/>
          <w:i w:val="0"/>
          <w:sz w:val="20"/>
        </w:rPr>
        <w:t>Note: AF units as printed in formula [5] are dimensionally inconsistent (MJ/t ÷ MJ); correct interpretation per EU RED alignment is AF = (LHV×TS_adv,fuel) / Σ(LHV_i × mass_i)</w:t>
      </w:r>
    </w:p>
    <w:p>
      <w:pPr>
        <w:spacing w:before="20" w:after="120"/>
      </w:pPr>
      <w:r>
        <w:rPr>
          <w:b w:val="0"/>
          <w:i/>
          <w:color w:val="555555"/>
          <w:sz w:val="16"/>
        </w:rPr>
        <w:t>Source: STD-01-010 v2.8 Annex IV formulas [4][5][6][7][8], confirmed from PDF pages 28-29</w:t>
      </w:r>
    </w:p>
    <w:p>
      <w:pPr>
        <w:spacing w:before="120" w:after="80"/>
      </w:pPr>
      <w:r>
        <w:rPr>
          <w:b/>
          <w:i w:val="0"/>
          <w:color w:val="003366"/>
          <w:sz w:val="24"/>
        </w:rPr>
        <w:t>2.2  RSB ICAO CORSIA — Mass Balance + Marginal Approach</w:t>
      </w:r>
    </w:p>
    <w:p>
      <w:pPr>
        <w:spacing w:before="40" w:after="80"/>
      </w:pPr>
      <w:r>
        <w:rPr>
          <w:b w:val="0"/>
          <w:i w:val="0"/>
          <w:sz w:val="20"/>
        </w:rPr>
        <w:t>Under CORSIA, the bio-based proportion of co-processed fuel is determined by material-specific conversion factor (no free designation). Upstream emissions are allocated to all renewable fuel outputs by energy.</w:t>
      </w:r>
    </w:p>
    <w:p>
      <w:pPr>
        <w:pStyle w:val="ListBullet"/>
        <w:spacing w:after="40"/>
        <w:ind w:left="227"/>
      </w:pPr>
      <w:r>
        <w:rPr>
          <w:b w:val="0"/>
          <w:i/>
          <w:sz w:val="20"/>
        </w:rPr>
        <w:t>"Determine the quantity of the blended or co-processed output with a biogenic sustainability characteristic by accounting for the following: a. the quantity of biogenic feedstock (processing) or fuel (trading/distributing), and b. the material-specific conversion factor of the process or process sequences."</w:t>
      </w:r>
    </w:p>
    <w:p>
      <w:pPr>
        <w:pStyle w:val="ListBullet"/>
        <w:spacing w:after="40"/>
        <w:ind w:left="227"/>
      </w:pPr>
      <w:r>
        <w:rPr>
          <w:b w:val="0"/>
          <w:i/>
          <w:sz w:val="20"/>
        </w:rPr>
        <w:t>"It is not permitted to transfer the sustainability characteristic from one type of material to another type of material."</w:t>
      </w:r>
    </w:p>
    <w:p>
      <w:pPr>
        <w:spacing w:before="20" w:after="120"/>
      </w:pPr>
      <w:r>
        <w:rPr>
          <w:b w:val="0"/>
          <w:i/>
          <w:color w:val="555555"/>
          <w:sz w:val="16"/>
        </w:rPr>
        <w:t>Source: RSB-STD-12-001 v1.6, §3.4.5.5 items 1 and 2</w:t>
      </w:r>
    </w:p>
    <w:p>
      <w:pPr>
        <w:pStyle w:val="ListBullet"/>
        <w:spacing w:after="40"/>
        <w:ind w:left="227"/>
      </w:pPr>
      <w:r>
        <w:rPr>
          <w:b w:val="0"/>
          <w:i/>
          <w:sz w:val="20"/>
        </w:rPr>
        <w:t>"All the changes in energy use and emissions are then allocated to renewable fuel production" and "energy allocation was used among products for this process."</w:t>
      </w:r>
    </w:p>
    <w:p>
      <w:pPr>
        <w:spacing w:before="20" w:after="120"/>
      </w:pPr>
      <w:r>
        <w:rPr>
          <w:b w:val="0"/>
          <w:i/>
          <w:color w:val="555555"/>
          <w:sz w:val="16"/>
        </w:rPr>
        <w:t>Source: ICAO CORSIA LCA Methodology V8 (November 2025), Chapter 6 (HEFA co-processing)</w:t>
      </w:r>
    </w:p>
    <w:p>
      <w:pPr>
        <w:spacing w:before="40" w:after="80"/>
      </w:pPr>
      <w:r>
        <w:rPr>
          <w:b w:val="0"/>
          <w:i/>
          <w:color w:val="CC6600"/>
          <w:sz w:val="18"/>
        </w:rPr>
        <w:t>Note: ICAO LCA Methodology V8 Chapter 6 covers HEFA co-processing specifically. Charm's pyrolysis bio-oil in an FCC is a different pathway. The marginal approach principles apply, but FCC-specific product distributions must be determined from actual refinery data.</w:t>
      </w:r>
    </w:p>
    <w:p>
      <w:r>
        <w:br w:type="page"/>
      </w:r>
    </w:p>
    <w:p>
      <w:pPr>
        <w:spacing w:before="200" w:after="80"/>
      </w:pPr>
      <w:r>
        <w:rPr>
          <w:b/>
          <w:i w:val="0"/>
          <w:caps/>
          <w:color w:val="003366"/>
          <w:sz w:val="30"/>
        </w:rPr>
        <w:t>PART 3: WORKED EXAMPLE — 100 MT BIO-OIL INTO 2,000 MT FCC FEED</w:t>
      </w:r>
    </w:p>
    <w:p>
      <w:pPr>
        <w:spacing w:before="120" w:after="80"/>
      </w:pPr>
      <w:r>
        <w:rPr>
          <w:b/>
          <w:i w:val="0"/>
          <w:color w:val="003366"/>
          <w:sz w:val="24"/>
        </w:rPr>
        <w:t>3.1  Shared Inputs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Input</w:t>
            </w:r>
          </w:p>
        </w:tc>
        <w:tc>
          <w:tcPr>
            <w:tcW w:type="dxa" w:w="3120"/>
            <w:shd w:val="clear" w:color="auto" w:fill="003366"/>
          </w:tcPr>
          <w:p>
            <w:r>
              <w:rPr>
                <w:b/>
                <w:i w:val="0"/>
                <w:color w:val="FFFFFF"/>
                <w:sz w:val="20"/>
              </w:rPr>
              <w:t>Value</w:t>
            </w:r>
          </w:p>
        </w:tc>
        <w:tc>
          <w:tcPr>
            <w:tcW w:type="dxa" w:w="3120"/>
            <w:shd w:val="clear" w:color="auto" w:fill="003366"/>
          </w:tcPr>
          <w:p>
            <w:r>
              <w:rPr>
                <w:b/>
                <w:i w:val="0"/>
                <w:color w:val="FFFFFF"/>
                <w:sz w:val="20"/>
              </w:rPr>
              <w:t>Status</w:t>
            </w:r>
          </w:p>
        </w:tc>
      </w:tr>
      <w:tr>
        <w:tc>
          <w:tcPr>
            <w:tcW w:type="dxa" w:w="3120"/>
          </w:tcPr>
          <w:p>
            <w:r>
              <w:rPr>
                <w:b w:val="0"/>
                <w:i w:val="0"/>
                <w:sz w:val="18"/>
              </w:rPr>
              <w:t>Bio-oil quantity</w:t>
            </w:r>
          </w:p>
        </w:tc>
        <w:tc>
          <w:tcPr>
            <w:tcW w:type="dxa" w:w="3120"/>
          </w:tcPr>
          <w:p>
            <w:r>
              <w:rPr>
                <w:b w:val="0"/>
                <w:i w:val="0"/>
                <w:sz w:val="18"/>
              </w:rPr>
              <w:t>100 MT (5% of 2,000 MT FCC feed)</w:t>
            </w:r>
          </w:p>
        </w:tc>
        <w:tc>
          <w:tcPr>
            <w:tcW w:type="dxa" w:w="3120"/>
          </w:tcPr>
          <w:p>
            <w:r>
              <w:rPr>
                <w:b w:val="0"/>
                <w:i w:val="0"/>
                <w:sz w:val="18"/>
              </w:rPr>
              <w:t>Given — max bio-oil fraction per problem statement</w:t>
            </w:r>
          </w:p>
        </w:tc>
      </w:tr>
      <w:tr>
        <w:tc>
          <w:tcPr>
            <w:tcW w:type="dxa" w:w="3120"/>
          </w:tcPr>
          <w:p>
            <w:r>
              <w:rPr>
                <w:b w:val="0"/>
                <w:i w:val="0"/>
                <w:sz w:val="18"/>
              </w:rPr>
              <w:t>Bio-oil carbon content</w:t>
            </w:r>
          </w:p>
        </w:tc>
        <w:tc>
          <w:tcPr>
            <w:tcW w:type="dxa" w:w="3120"/>
          </w:tcPr>
          <w:p>
            <w:r>
              <w:rPr>
                <w:b w:val="0"/>
                <w:i w:val="0"/>
                <w:sz w:val="18"/>
              </w:rPr>
              <w:t>45%</w:t>
            </w:r>
          </w:p>
        </w:tc>
        <w:tc>
          <w:tcPr>
            <w:tcW w:type="dxa" w:w="3120"/>
          </w:tcPr>
          <w:p>
            <w:r>
              <w:rPr>
                <w:b w:val="0"/>
                <w:i w:val="0"/>
                <w:sz w:val="18"/>
              </w:rPr>
              <w:t>Given</w:t>
            </w:r>
          </w:p>
        </w:tc>
      </w:tr>
      <w:tr>
        <w:tc>
          <w:tcPr>
            <w:tcW w:type="dxa" w:w="3120"/>
          </w:tcPr>
          <w:p>
            <w:r>
              <w:rPr>
                <w:b w:val="0"/>
                <w:i w:val="0"/>
                <w:sz w:val="18"/>
              </w:rPr>
              <w:t>Bio-oil CI (WtG at refinery gate)</w:t>
            </w:r>
          </w:p>
        </w:tc>
        <w:tc>
          <w:tcPr>
            <w:tcW w:type="dxa" w:w="3120"/>
          </w:tcPr>
          <w:p>
            <w:r>
              <w:rPr>
                <w:b w:val="0"/>
                <w:i w:val="0"/>
                <w:sz w:val="18"/>
              </w:rPr>
              <w:t>0.8 tCO2e/t bio-oil</w:t>
            </w:r>
          </w:p>
        </w:tc>
        <w:tc>
          <w:tcPr>
            <w:tcW w:type="dxa" w:w="3120"/>
          </w:tcPr>
          <w:p>
            <w:r>
              <w:rPr>
                <w:b w:val="0"/>
                <w:i w:val="0"/>
                <w:sz w:val="18"/>
              </w:rPr>
              <w:t>Given — see Note A below</w:t>
            </w:r>
          </w:p>
        </w:tc>
      </w:tr>
      <w:tr>
        <w:tc>
          <w:tcPr>
            <w:tcW w:type="dxa" w:w="3120"/>
          </w:tcPr>
          <w:p>
            <w:r>
              <w:rPr>
                <w:b w:val="0"/>
                <w:i w:val="0"/>
                <w:sz w:val="18"/>
              </w:rPr>
              <w:t>SAF carbon fraction</w:t>
            </w:r>
          </w:p>
        </w:tc>
        <w:tc>
          <w:tcPr>
            <w:tcW w:type="dxa" w:w="3120"/>
          </w:tcPr>
          <w:p>
            <w:r>
              <w:rPr>
                <w:b w:val="0"/>
                <w:i w:val="0"/>
                <w:sz w:val="18"/>
              </w:rPr>
              <w:t>88%</w:t>
            </w:r>
          </w:p>
        </w:tc>
        <w:tc>
          <w:tcPr>
            <w:tcW w:type="dxa" w:w="3120"/>
          </w:tcPr>
          <w:p>
            <w:r>
              <w:rPr>
                <w:b w:val="0"/>
                <w:i w:val="0"/>
                <w:sz w:val="18"/>
              </w:rPr>
              <w:t>Standard jet fuel value</w:t>
            </w:r>
          </w:p>
        </w:tc>
      </w:tr>
      <w:tr>
        <w:tc>
          <w:tcPr>
            <w:tcW w:type="dxa" w:w="3120"/>
          </w:tcPr>
          <w:p>
            <w:r>
              <w:rPr>
                <w:b w:val="0"/>
                <w:i w:val="0"/>
                <w:sz w:val="18"/>
              </w:rPr>
              <w:t>SAF LHV</w:t>
            </w:r>
          </w:p>
        </w:tc>
        <w:tc>
          <w:tcPr>
            <w:tcW w:type="dxa" w:w="3120"/>
          </w:tcPr>
          <w:p>
            <w:r>
              <w:rPr>
                <w:b w:val="0"/>
                <w:i w:val="0"/>
                <w:sz w:val="18"/>
              </w:rPr>
              <w:t>43,200 MJ/t (43.2 MJ/kg)</w:t>
            </w:r>
          </w:p>
        </w:tc>
        <w:tc>
          <w:tcPr>
            <w:tcW w:type="dxa" w:w="3120"/>
          </w:tcPr>
          <w:p>
            <w:r>
              <w:rPr>
                <w:b w:val="0"/>
                <w:i w:val="0"/>
                <w:sz w:val="18"/>
              </w:rPr>
              <w:t>Standard jet fuel value</w:t>
            </w:r>
          </w:p>
        </w:tc>
      </w:tr>
      <w:tr>
        <w:tc>
          <w:tcPr>
            <w:tcW w:type="dxa" w:w="3120"/>
          </w:tcPr>
          <w:p>
            <w:r>
              <w:rPr>
                <w:b w:val="0"/>
                <w:i w:val="0"/>
                <w:sz w:val="18"/>
              </w:rPr>
              <w:t>ηCi (carbon conversion efficiency)</w:t>
            </w:r>
          </w:p>
        </w:tc>
        <w:tc>
          <w:tcPr>
            <w:tcW w:type="dxa" w:w="3120"/>
          </w:tcPr>
          <w:p>
            <w:r>
              <w:rPr>
                <w:b w:val="0"/>
                <w:i w:val="0"/>
                <w:sz w:val="18"/>
              </w:rPr>
              <w:t>0.80</w:t>
            </w:r>
          </w:p>
        </w:tc>
        <w:tc>
          <w:tcPr>
            <w:tcW w:type="dxa" w:w="3120"/>
          </w:tcPr>
          <w:p>
            <w:r>
              <w:rPr>
                <w:b w:val="0"/>
                <w:i w:val="0"/>
                <w:sz w:val="18"/>
              </w:rPr>
              <w:t>ASSUMPTION — must be measured annually per Annex IV Note 1</w:t>
            </w:r>
          </w:p>
        </w:tc>
      </w:tr>
      <w:tr>
        <w:tc>
          <w:tcPr>
            <w:tcW w:type="dxa" w:w="3120"/>
          </w:tcPr>
          <w:p>
            <w:r>
              <w:rPr>
                <w:b w:val="0"/>
                <w:i w:val="0"/>
                <w:sz w:val="18"/>
              </w:rPr>
              <w:t>FCC SAF fraction of output</w:t>
            </w:r>
          </w:p>
        </w:tc>
        <w:tc>
          <w:tcPr>
            <w:tcW w:type="dxa" w:w="3120"/>
          </w:tcPr>
          <w:p>
            <w:r>
              <w:rPr>
                <w:b w:val="0"/>
                <w:i w:val="0"/>
                <w:sz w:val="18"/>
              </w:rPr>
              <w:t>20% of total = 400 t SAF</w:t>
            </w:r>
          </w:p>
        </w:tc>
        <w:tc>
          <w:tcPr>
            <w:tcW w:type="dxa" w:w="3120"/>
          </w:tcPr>
          <w:p>
            <w:r>
              <w:rPr>
                <w:b w:val="0"/>
                <w:i w:val="0"/>
                <w:sz w:val="18"/>
              </w:rPr>
              <w:t>ASSUMPTION — refinery-specific</w:t>
            </w:r>
          </w:p>
        </w:tc>
      </w:tr>
      <w:tr>
        <w:tc>
          <w:tcPr>
            <w:tcW w:type="dxa" w:w="3120"/>
          </w:tcPr>
          <w:p>
            <w:r>
              <w:rPr>
                <w:b w:val="0"/>
                <w:i w:val="0"/>
                <w:sz w:val="18"/>
              </w:rPr>
              <w:t>Other renewable fuel from bio-oil</w:t>
            </w:r>
          </w:p>
        </w:tc>
        <w:tc>
          <w:tcPr>
            <w:tcW w:type="dxa" w:w="3120"/>
          </w:tcPr>
          <w:p>
            <w:r>
              <w:rPr>
                <w:b w:val="0"/>
                <w:i w:val="0"/>
                <w:sz w:val="18"/>
              </w:rPr>
              <w:t>60 t at avg 44,000 MJ/t</w:t>
            </w:r>
          </w:p>
        </w:tc>
        <w:tc>
          <w:tcPr>
            <w:tcW w:type="dxa" w:w="3120"/>
          </w:tcPr>
          <w:p>
            <w:r>
              <w:rPr>
                <w:b w:val="0"/>
                <w:i w:val="0"/>
                <w:sz w:val="18"/>
              </w:rPr>
              <w:t>ASSUMPTION — refinery-specific</w:t>
            </w:r>
          </w:p>
        </w:tc>
      </w:tr>
    </w:tbl>
    <w:p>
      <w:pPr>
        <w:spacing w:before="40" w:after="80"/>
      </w:pPr>
      <w:r>
        <w:rPr>
          <w:b w:val="0"/>
          <w:i/>
          <w:color w:val="CC6600"/>
          <w:sz w:val="18"/>
        </w:rPr>
        <w:t>Note A: The 0.8 tCO2e/t figure must cover all upstream from forest collection through delivery at the refinery gate. Critically, RSB Global requires ECONOMIC allocation between bio-oil and biochar at Charm's pyrolyzer (STD-03-001 Table 1). If 0.8 tCO2e/t is the FULL pyrolysis burden before economic allocation, the RSB Global-compliant bio-oil CI would be lower — potentially substantially lower if biochar commands a significantly higher market price than bio-oil. The comparison below treats 0.8 tCO2e/t as post-allocation (i.e., bio-oil's share after the economic split). If it is pre-allocation, the RSB Global upstream intensity drops proportionally.</w:t>
      </w:r>
    </w:p>
    <w:p>
      <w:pPr>
        <w:spacing w:before="120" w:after="80"/>
      </w:pPr>
      <w:r>
        <w:rPr>
          <w:b/>
          <w:i w:val="0"/>
          <w:color w:val="003366"/>
          <w:sz w:val="24"/>
        </w:rPr>
        <w:t>3.2  Eligible SAF Volume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Step</w:t>
            </w:r>
          </w:p>
        </w:tc>
        <w:tc>
          <w:tcPr>
            <w:tcW w:type="dxa" w:w="3120"/>
            <w:shd w:val="clear" w:color="auto" w:fill="003366"/>
          </w:tcPr>
          <w:p>
            <w:r>
              <w:rPr>
                <w:b/>
                <w:i w:val="0"/>
                <w:color w:val="FFFFFF"/>
                <w:sz w:val="20"/>
              </w:rPr>
              <w:t>RSB Global (Flexible Attribution)</w:t>
            </w:r>
          </w:p>
        </w:tc>
        <w:tc>
          <w:tcPr>
            <w:tcW w:type="dxa" w:w="3120"/>
            <w:shd w:val="clear" w:color="auto" w:fill="003366"/>
          </w:tcPr>
          <w:p>
            <w:r>
              <w:rPr>
                <w:b/>
                <w:i w:val="0"/>
                <w:color w:val="FFFFFF"/>
                <w:sz w:val="20"/>
              </w:rPr>
              <w:t>RSB ICAO CORSIA (Mass Balance)</w:t>
            </w:r>
          </w:p>
        </w:tc>
      </w:tr>
      <w:tr>
        <w:tc>
          <w:tcPr>
            <w:tcW w:type="dxa" w:w="3120"/>
          </w:tcPr>
          <w:p>
            <w:r>
              <w:rPr>
                <w:b/>
                <w:i w:val="0"/>
                <w:sz w:val="18"/>
              </w:rPr>
              <w:t>Step 1</w:t>
            </w:r>
          </w:p>
        </w:tc>
        <w:tc>
          <w:tcPr>
            <w:tcW w:type="dxa" w:w="3120"/>
          </w:tcPr>
          <w:p>
            <w:r>
              <w:rPr>
                <w:b w:val="0"/>
                <w:i w:val="0"/>
                <w:sz w:val="18"/>
              </w:rPr>
              <w:t>Output eligiblecarbon = 100 × 0.45 × 0.80 = 36 t C</w:t>
              <w:br/>
              <w:t>[Formula [1], STD-01-010 Annex IV]</w:t>
            </w:r>
          </w:p>
        </w:tc>
        <w:tc>
          <w:tcPr>
            <w:tcW w:type="dxa" w:w="3120"/>
          </w:tcPr>
          <w:p>
            <w:r>
              <w:rPr>
                <w:b w:val="0"/>
                <w:i w:val="0"/>
                <w:sz w:val="18"/>
              </w:rPr>
              <w:t>Bio-based fraction = 5% of each output (material-specific conversion at 5% feed ratio)</w:t>
            </w:r>
          </w:p>
        </w:tc>
      </w:tr>
      <w:tr>
        <w:tc>
          <w:tcPr>
            <w:tcW w:type="dxa" w:w="3120"/>
          </w:tcPr>
          <w:p>
            <w:r>
              <w:rPr>
                <w:b/>
                <w:i w:val="0"/>
                <w:sz w:val="18"/>
              </w:rPr>
              <w:t>Step 2</w:t>
            </w:r>
          </w:p>
        </w:tc>
        <w:tc>
          <w:tcPr>
            <w:tcW w:type="dxa" w:w="3120"/>
          </w:tcPr>
          <w:p>
            <w:r>
              <w:rPr>
                <w:b w:val="0"/>
                <w:i w:val="0"/>
                <w:sz w:val="18"/>
              </w:rPr>
              <w:t>TS adv,fuel = 36 × (1/0.88) = 36 × 1.136 = 40.9 t SAF</w:t>
              <w:br/>
              <w:t>[Formula [2], STD-01-010 Annex IV]</w:t>
            </w:r>
          </w:p>
        </w:tc>
        <w:tc>
          <w:tcPr>
            <w:tcW w:type="dxa" w:w="3120"/>
          </w:tcPr>
          <w:p>
            <w:r>
              <w:rPr>
                <w:b w:val="0"/>
                <w:i w:val="0"/>
                <w:sz w:val="18"/>
              </w:rPr>
              <w:t>CORSIA-eligible SAF = 5% × 400 t total = 20 t SAF [ASSUMPTION on product split]</w:t>
            </w:r>
          </w:p>
        </w:tc>
      </w:tr>
      <w:tr>
        <w:tc>
          <w:tcPr>
            <w:tcW w:type="dxa" w:w="3120"/>
          </w:tcPr>
          <w:p>
            <w:r>
              <w:rPr>
                <w:b/>
                <w:i w:val="0"/>
                <w:sz w:val="18"/>
              </w:rPr>
              <w:t>Result</w:t>
            </w:r>
          </w:p>
        </w:tc>
        <w:tc>
          <w:tcPr>
            <w:tcW w:type="dxa" w:w="3120"/>
          </w:tcPr>
          <w:p>
            <w:r>
              <w:rPr>
                <w:b w:val="0"/>
                <w:i w:val="0"/>
                <w:sz w:val="18"/>
              </w:rPr>
              <w:t>40.9 t SAF carries 100% biogenic credit</w:t>
              <w:br/>
              <w:t>(operator designates SAF as recipient)</w:t>
            </w:r>
          </w:p>
        </w:tc>
        <w:tc>
          <w:tcPr>
            <w:tcW w:type="dxa" w:w="3120"/>
          </w:tcPr>
          <w:p>
            <w:r>
              <w:rPr>
                <w:b w:val="0"/>
                <w:i w:val="0"/>
                <w:sz w:val="18"/>
              </w:rPr>
              <w:t>20 t SAF is CORSIA-eligible</w:t>
              <w:br/>
              <w:t>(proportional to bio-oil share of feed)</w:t>
            </w:r>
          </w:p>
        </w:tc>
      </w:tr>
    </w:tbl>
    <w:p>
      <w:pPr>
        <w:spacing w:before="120" w:after="80"/>
      </w:pPr>
      <w:r>
        <w:rPr>
          <w:b/>
          <w:i w:val="0"/>
          <w:color w:val="003366"/>
          <w:sz w:val="24"/>
        </w:rPr>
        <w:t>3.3  Bio-Oil Upstream GHG Contribution to SAF Intensity</w:t>
      </w:r>
    </w:p>
    <w:p>
      <w:pPr>
        <w:spacing w:before="40" w:after="80"/>
      </w:pPr>
      <w:r>
        <w:rPr>
          <w:b w:val="0"/>
          <w:i w:val="0"/>
          <w:sz w:val="20"/>
        </w:rPr>
        <w:t>All figures below are the bio-oil UPSTREAM contribution only. Processing and transport add to each.</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r>
          </w:p>
        </w:tc>
        <w:tc>
          <w:tcPr>
            <w:tcW w:type="dxa" w:w="3120"/>
            <w:shd w:val="clear" w:color="auto" w:fill="003366"/>
          </w:tcPr>
          <w:p>
            <w:r>
              <w:rPr>
                <w:b/>
                <w:i w:val="0"/>
                <w:color w:val="FFFFFF"/>
                <w:sz w:val="20"/>
              </w:rPr>
              <w:t>RSB Global</w:t>
            </w:r>
          </w:p>
        </w:tc>
        <w:tc>
          <w:tcPr>
            <w:tcW w:type="dxa" w:w="3120"/>
            <w:shd w:val="clear" w:color="auto" w:fill="003366"/>
          </w:tcPr>
          <w:p>
            <w:r>
              <w:rPr>
                <w:b/>
                <w:i w:val="0"/>
                <w:color w:val="FFFFFF"/>
                <w:sz w:val="20"/>
              </w:rPr>
              <w:t>RSB ICAO CORSIA</w:t>
            </w:r>
          </w:p>
        </w:tc>
      </w:tr>
      <w:tr>
        <w:tc>
          <w:tcPr>
            <w:tcW w:type="dxa" w:w="3120"/>
          </w:tcPr>
          <w:p>
            <w:r>
              <w:rPr>
                <w:b/>
                <w:i w:val="0"/>
                <w:sz w:val="18"/>
              </w:rPr>
              <w:t>Bio-oil upstream total</w:t>
            </w:r>
          </w:p>
        </w:tc>
        <w:tc>
          <w:tcPr>
            <w:tcW w:type="dxa" w:w="3120"/>
          </w:tcPr>
          <w:p>
            <w:r>
              <w:rPr>
                <w:b w:val="0"/>
                <w:i w:val="0"/>
                <w:sz w:val="18"/>
              </w:rPr>
              <w:t>0.8 × 100 = 80 tCO2e</w:t>
            </w:r>
          </w:p>
        </w:tc>
        <w:tc>
          <w:tcPr>
            <w:tcW w:type="dxa" w:w="3120"/>
          </w:tcPr>
          <w:p>
            <w:r>
              <w:rPr>
                <w:b w:val="0"/>
                <w:i w:val="0"/>
                <w:sz w:val="18"/>
              </w:rPr>
              <w:t>0.8 × 100 = 80 tCO2e</w:t>
            </w:r>
          </w:p>
        </w:tc>
      </w:tr>
      <w:tr>
        <w:tc>
          <w:tcPr>
            <w:tcW w:type="dxa" w:w="3120"/>
          </w:tcPr>
          <w:p>
            <w:r>
              <w:rPr>
                <w:b/>
                <w:i w:val="0"/>
                <w:sz w:val="18"/>
              </w:rPr>
              <w:t>Allocation to SAF</w:t>
            </w:r>
          </w:p>
        </w:tc>
        <w:tc>
          <w:tcPr>
            <w:tcW w:type="dxa" w:w="3120"/>
          </w:tcPr>
          <w:p>
            <w:r>
              <w:rPr>
                <w:b w:val="0"/>
                <w:i w:val="0"/>
                <w:sz w:val="18"/>
              </w:rPr>
              <w:t>Full 80 tCO2e charged to TS adv,fuel (40.9 t)</w:t>
              <w:br/>
              <w:t>No energy-basis AF discount on feedstock term</w:t>
              <w:br/>
              <w:t>[Formula [4], STD-01-010 Annex IV]</w:t>
            </w:r>
          </w:p>
        </w:tc>
        <w:tc>
          <w:tcPr>
            <w:tcW w:type="dxa" w:w="3120"/>
          </w:tcPr>
          <w:p>
            <w:r>
              <w:rPr>
                <w:b w:val="0"/>
                <w:i w:val="0"/>
                <w:sz w:val="18"/>
              </w:rPr>
              <w:t>24.7% of 80 tCO2e allocated to SAF</w:t>
              <w:br/>
              <w:t>(SAF energy: 864,000 MJ / total bio-derived: 3,504,000 MJ)</w:t>
              <w:br/>
              <w:t>[ICAO LCA V8 Ch.6 + RSB-STD-12-001 §3.4.7.1]</w:t>
            </w:r>
          </w:p>
        </w:tc>
      </w:tr>
      <w:tr>
        <w:tc>
          <w:tcPr>
            <w:tcW w:type="dxa" w:w="3120"/>
          </w:tcPr>
          <w:p>
            <w:r>
              <w:rPr>
                <w:b/>
                <w:i w:val="0"/>
                <w:sz w:val="18"/>
              </w:rPr>
              <w:t>Upstream allocated to SAF</w:t>
            </w:r>
          </w:p>
        </w:tc>
        <w:tc>
          <w:tcPr>
            <w:tcW w:type="dxa" w:w="3120"/>
          </w:tcPr>
          <w:p>
            <w:r>
              <w:rPr>
                <w:b w:val="0"/>
                <w:i w:val="0"/>
                <w:sz w:val="18"/>
              </w:rPr>
              <w:t>80 tCO2e ÷ 40.9 t = 1.956 tCO2e/t SAF</w:t>
            </w:r>
          </w:p>
        </w:tc>
        <w:tc>
          <w:tcPr>
            <w:tcW w:type="dxa" w:w="3120"/>
          </w:tcPr>
          <w:p>
            <w:r>
              <w:rPr>
                <w:b w:val="0"/>
                <w:i w:val="0"/>
                <w:sz w:val="18"/>
              </w:rPr>
              <w:t>19.7 tCO2e ÷ 20 t = 0.985 tCO2e/t SAF</w:t>
            </w:r>
          </w:p>
        </w:tc>
      </w:tr>
      <w:tr>
        <w:tc>
          <w:tcPr>
            <w:tcW w:type="dxa" w:w="3120"/>
          </w:tcPr>
          <w:p>
            <w:r>
              <w:rPr>
                <w:b/>
                <w:i w:val="0"/>
                <w:sz w:val="18"/>
              </w:rPr>
              <w:t>Upstream per MJ SAF</w:t>
            </w:r>
          </w:p>
        </w:tc>
        <w:tc>
          <w:tcPr>
            <w:tcW w:type="dxa" w:w="3120"/>
          </w:tcPr>
          <w:p>
            <w:r>
              <w:rPr>
                <w:b w:val="0"/>
                <w:i w:val="0"/>
                <w:sz w:val="18"/>
              </w:rPr>
              <w:t>1,956,000 gCO2e ÷ 43,200 MJ/t = 45.3 gCO2e/MJ</w:t>
            </w:r>
          </w:p>
        </w:tc>
        <w:tc>
          <w:tcPr>
            <w:tcW w:type="dxa" w:w="3120"/>
          </w:tcPr>
          <w:p>
            <w:r>
              <w:rPr>
                <w:b w:val="0"/>
                <w:i w:val="0"/>
                <w:sz w:val="18"/>
              </w:rPr>
              <w:t>985,000 gCO2e ÷ 43,200 MJ/t = 22.8 gCO2e/MJ</w:t>
            </w:r>
          </w:p>
        </w:tc>
      </w:tr>
      <w:tr>
        <w:tc>
          <w:tcPr>
            <w:tcW w:type="dxa" w:w="3120"/>
          </w:tcPr>
          <w:p>
            <w:r>
              <w:rPr>
                <w:b/>
                <w:i w:val="0"/>
                <w:sz w:val="18"/>
              </w:rPr>
              <w:t>Additional terms (refinery)</w:t>
            </w:r>
          </w:p>
        </w:tc>
        <w:tc>
          <w:tcPr>
            <w:tcW w:type="dxa" w:w="3120"/>
          </w:tcPr>
          <w:p>
            <w:r>
              <w:rPr>
                <w:b w:val="0"/>
                <w:i w:val="0"/>
                <w:sz w:val="18"/>
              </w:rPr>
              <w:t>WtG inputs × AF (≈2%) + GtG × AF (≈2%)</w:t>
              <w:br/>
              <w:t>Requires refinery-specific data [ASSUMPTION: minor]</w:t>
            </w:r>
          </w:p>
        </w:tc>
        <w:tc>
          <w:tcPr>
            <w:tcW w:type="dxa" w:w="3120"/>
          </w:tcPr>
          <w:p>
            <w:r>
              <w:rPr>
                <w:b w:val="0"/>
                <w:i w:val="0"/>
                <w:sz w:val="18"/>
              </w:rPr>
              <w:t>Change in refinery CI from marginal approach</w:t>
              <w:br/>
              <w:t>Requires refinery LP model data [ASSUMPTION: not computed]</w:t>
            </w:r>
          </w:p>
        </w:tc>
      </w:tr>
    </w:tbl>
    <w:p>
      <w:pPr>
        <w:spacing w:before="120" w:after="80"/>
      </w:pPr>
      <w:r>
        <w:rPr>
          <w:b/>
          <w:i w:val="0"/>
          <w:color w:val="003366"/>
          <w:sz w:val="24"/>
        </w:rPr>
        <w:t>3.4  GHG Threshold Assessment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i w:val="0"/>
                <w:color w:val="FFFFFF"/>
                <w:sz w:val="20"/>
              </w:rPr>
            </w:r>
          </w:p>
        </w:tc>
        <w:tc>
          <w:tcPr>
            <w:tcW w:type="dxa" w:w="2340"/>
            <w:shd w:val="clear" w:color="auto" w:fill="003366"/>
          </w:tcPr>
          <w:p>
            <w:r>
              <w:rPr>
                <w:b/>
                <w:i w:val="0"/>
                <w:color w:val="FFFFFF"/>
                <w:sz w:val="20"/>
              </w:rPr>
              <w:t>RSB Global</w:t>
            </w:r>
          </w:p>
        </w:tc>
        <w:tc>
          <w:tcPr>
            <w:tcW w:type="dxa" w:w="2340"/>
            <w:shd w:val="clear" w:color="auto" w:fill="003366"/>
          </w:tcPr>
          <w:p>
            <w:r>
              <w:rPr>
                <w:b/>
                <w:i w:val="0"/>
                <w:color w:val="FFFFFF"/>
                <w:sz w:val="20"/>
              </w:rPr>
              <w:t>RSB ICAO CORSIA</w:t>
            </w:r>
          </w:p>
        </w:tc>
        <w:tc>
          <w:tcPr>
            <w:tcW w:type="dxa" w:w="2340"/>
            <w:shd w:val="clear" w:color="auto" w:fill="003366"/>
          </w:tcPr>
          <w:p>
            <w:r>
              <w:rPr>
                <w:b/>
                <w:i w:val="0"/>
                <w:color w:val="FFFFFF"/>
                <w:sz w:val="20"/>
              </w:rPr>
              <w:t>Source</w:t>
            </w:r>
          </w:p>
        </w:tc>
      </w:tr>
      <w:tr>
        <w:tc>
          <w:tcPr>
            <w:tcW w:type="dxa" w:w="2340"/>
          </w:tcPr>
          <w:p>
            <w:r>
              <w:rPr>
                <w:b/>
                <w:i w:val="0"/>
                <w:sz w:val="18"/>
              </w:rPr>
              <w:t>Fossil comparator</w:t>
            </w:r>
          </w:p>
        </w:tc>
        <w:tc>
          <w:tcPr>
            <w:tcW w:type="dxa" w:w="2340"/>
          </w:tcPr>
          <w:p>
            <w:r>
              <w:rPr>
                <w:b w:val="0"/>
                <w:i w:val="0"/>
                <w:sz w:val="18"/>
              </w:rPr>
              <w:t>90 gCO2e/MJ</w:t>
            </w:r>
          </w:p>
        </w:tc>
        <w:tc>
          <w:tcPr>
            <w:tcW w:type="dxa" w:w="2340"/>
          </w:tcPr>
          <w:p>
            <w:r>
              <w:rPr>
                <w:b w:val="0"/>
                <w:i w:val="0"/>
                <w:sz w:val="18"/>
              </w:rPr>
              <w:t>89 gCO2e/MJ</w:t>
            </w:r>
          </w:p>
        </w:tc>
        <w:tc>
          <w:tcPr>
            <w:tcW w:type="dxa" w:w="2340"/>
          </w:tcPr>
          <w:p>
            <w:r>
              <w:rPr>
                <w:b w:val="0"/>
                <w:i w:val="0"/>
                <w:sz w:val="18"/>
              </w:rPr>
              <w:t>STD-03-001 v3.2 Table 2</w:t>
            </w:r>
          </w:p>
        </w:tc>
      </w:tr>
      <w:tr>
        <w:tc>
          <w:tcPr>
            <w:tcW w:type="dxa" w:w="2340"/>
          </w:tcPr>
          <w:p>
            <w:r>
              <w:rPr>
                <w:b/>
                <w:i w:val="0"/>
                <w:sz w:val="18"/>
              </w:rPr>
              <w:t>Minimum savings required</w:t>
            </w:r>
          </w:p>
        </w:tc>
        <w:tc>
          <w:tcPr>
            <w:tcW w:type="dxa" w:w="2340"/>
          </w:tcPr>
          <w:p>
            <w:r>
              <w:rPr>
                <w:b w:val="0"/>
                <w:i w:val="0"/>
                <w:sz w:val="18"/>
              </w:rPr>
              <w:t>65% (standard pathway)</w:t>
              <w:br/>
              <w:t>50-65% phased (transitional pathway)</w:t>
            </w:r>
          </w:p>
        </w:tc>
        <w:tc>
          <w:tcPr>
            <w:tcW w:type="dxa" w:w="2340"/>
          </w:tcPr>
          <w:p>
            <w:r>
              <w:rPr>
                <w:b w:val="0"/>
                <w:i w:val="0"/>
                <w:sz w:val="18"/>
              </w:rPr>
              <w:t>10%</w:t>
            </w:r>
          </w:p>
        </w:tc>
        <w:tc>
          <w:tcPr>
            <w:tcW w:type="dxa" w:w="2340"/>
          </w:tcPr>
          <w:p>
            <w:r>
              <w:rPr>
                <w:b w:val="0"/>
                <w:i w:val="0"/>
                <w:sz w:val="18"/>
              </w:rPr>
              <w:t>RSB P&amp;C Criterion 3.b → STD-01-010 §2.1.1</w:t>
              <w:br/>
              <w:t>(standard)</w:t>
              <w:br/>
              <w:t>RSB P&amp;C transitional pathway</w:t>
              <w:br/>
              <w:t>RSB-STD-12-001 lines 489-492 (CORSIA)</w:t>
            </w:r>
          </w:p>
        </w:tc>
      </w:tr>
      <w:tr>
        <w:tc>
          <w:tcPr>
            <w:tcW w:type="dxa" w:w="2340"/>
          </w:tcPr>
          <w:p>
            <w:r>
              <w:rPr>
                <w:b/>
                <w:i w:val="0"/>
                <w:sz w:val="18"/>
              </w:rPr>
              <w:t>GHG intensity threshold</w:t>
            </w:r>
          </w:p>
        </w:tc>
        <w:tc>
          <w:tcPr>
            <w:tcW w:type="dxa" w:w="2340"/>
          </w:tcPr>
          <w:p>
            <w:r>
              <w:rPr>
                <w:b w:val="0"/>
                <w:i w:val="0"/>
                <w:sz w:val="18"/>
              </w:rPr>
              <w:t>≤31.5 gCO2e/MJ (standard)</w:t>
              <w:br/>
              <w:t>≤45 gCO2e/MJ in 2026 (transitional)</w:t>
            </w:r>
          </w:p>
        </w:tc>
        <w:tc>
          <w:tcPr>
            <w:tcW w:type="dxa" w:w="2340"/>
          </w:tcPr>
          <w:p>
            <w:r>
              <w:rPr>
                <w:b w:val="0"/>
                <w:i w:val="0"/>
                <w:sz w:val="18"/>
              </w:rPr>
              <w:t>≤80.1 gCO2e/MJ</w:t>
            </w:r>
          </w:p>
        </w:tc>
        <w:tc>
          <w:tcPr>
            <w:tcW w:type="dxa" w:w="2340"/>
          </w:tcPr>
          <w:p>
            <w:r>
              <w:rPr>
                <w:b w:val="0"/>
                <w:i w:val="0"/>
                <w:sz w:val="18"/>
              </w:rPr>
            </w:r>
          </w:p>
        </w:tc>
      </w:tr>
      <w:tr>
        <w:tc>
          <w:tcPr>
            <w:tcW w:type="dxa" w:w="2340"/>
          </w:tcPr>
          <w:p>
            <w:r>
              <w:rPr>
                <w:b/>
                <w:i w:val="0"/>
                <w:sz w:val="18"/>
              </w:rPr>
              <w:t>Upstream alone at 0.8 tCO2e/t</w:t>
            </w:r>
          </w:p>
        </w:tc>
        <w:tc>
          <w:tcPr>
            <w:tcW w:type="dxa" w:w="2340"/>
          </w:tcPr>
          <w:p>
            <w:r>
              <w:rPr>
                <w:b w:val="0"/>
                <w:i w:val="0"/>
                <w:sz w:val="18"/>
              </w:rPr>
              <w:t>45.3 gCO2e/MJ</w:t>
            </w:r>
          </w:p>
        </w:tc>
        <w:tc>
          <w:tcPr>
            <w:tcW w:type="dxa" w:w="2340"/>
          </w:tcPr>
          <w:p>
            <w:r>
              <w:rPr>
                <w:b w:val="0"/>
                <w:i w:val="0"/>
                <w:sz w:val="18"/>
              </w:rPr>
              <w:t>22.8 gCO2e/MJ</w:t>
            </w:r>
          </w:p>
        </w:tc>
        <w:tc>
          <w:tcPr>
            <w:tcW w:type="dxa" w:w="2340"/>
          </w:tcPr>
          <w:p>
            <w:r>
              <w:rPr>
                <w:b w:val="0"/>
                <w:i w:val="0"/>
                <w:sz w:val="18"/>
              </w:rPr>
              <w:t>See Part 3.3</w:t>
            </w:r>
          </w:p>
        </w:tc>
      </w:tr>
      <w:tr>
        <w:tc>
          <w:tcPr>
            <w:tcW w:type="dxa" w:w="2340"/>
          </w:tcPr>
          <w:p>
            <w:r>
              <w:rPr>
                <w:b/>
                <w:i w:val="0"/>
                <w:sz w:val="18"/>
              </w:rPr>
              <w:t>Pass/fail — upstream alone</w:t>
            </w:r>
          </w:p>
        </w:tc>
        <w:tc>
          <w:tcPr>
            <w:tcW w:type="dxa" w:w="2340"/>
          </w:tcPr>
          <w:p>
            <w:r>
              <w:rPr>
                <w:b w:val="0"/>
                <w:i w:val="0"/>
                <w:sz w:val="18"/>
              </w:rPr>
              <w:t>FAIL: 45.3 &gt; 31.5 (standard)</w:t>
              <w:br/>
              <w:t>FAIL: 45.3 &gt; 45.0 (transitional 2026)</w:t>
            </w:r>
          </w:p>
        </w:tc>
        <w:tc>
          <w:tcPr>
            <w:tcW w:type="dxa" w:w="2340"/>
          </w:tcPr>
          <w:p>
            <w:r>
              <w:rPr>
                <w:b w:val="0"/>
                <w:i w:val="0"/>
                <w:sz w:val="18"/>
              </w:rPr>
              <w:t>PASS: 22.8 ≪ 80.1</w:t>
            </w:r>
          </w:p>
        </w:tc>
        <w:tc>
          <w:tcPr>
            <w:tcW w:type="dxa" w:w="2340"/>
          </w:tcPr>
          <w:p>
            <w:r>
              <w:rPr>
                <w:b w:val="0"/>
                <w:i w:val="0"/>
                <w:sz w:val="18"/>
              </w:rPr>
            </w:r>
          </w:p>
        </w:tc>
      </w:tr>
      <w:tr>
        <w:tc>
          <w:tcPr>
            <w:tcW w:type="dxa" w:w="2340"/>
          </w:tcPr>
          <w:p>
            <w:r>
              <w:rPr>
                <w:b/>
                <w:i w:val="0"/>
                <w:sz w:val="18"/>
              </w:rPr>
              <w:t>Maximum permissible bio-oil CI</w:t>
              <w:br/>
              <w:t>(upstream term only, assuming other</w:t>
              <w:br/>
              <w:t>terms add ≤10 gCO2e/MJ)</w:t>
            </w:r>
          </w:p>
        </w:tc>
        <w:tc>
          <w:tcPr>
            <w:tcW w:type="dxa" w:w="2340"/>
          </w:tcPr>
          <w:p>
            <w:r>
              <w:rPr>
                <w:b w:val="0"/>
                <w:i w:val="0"/>
                <w:sz w:val="18"/>
              </w:rPr>
              <w:t>≤0.38 tCO2e/t (standard)</w:t>
              <w:br/>
              <w:t>≤0.76 tCO2e/t (transitional 2026) [ASSUMPTION on other terms]</w:t>
            </w:r>
          </w:p>
        </w:tc>
        <w:tc>
          <w:tcPr>
            <w:tcW w:type="dxa" w:w="2340"/>
          </w:tcPr>
          <w:p>
            <w:r>
              <w:rPr>
                <w:b w:val="0"/>
                <w:i w:val="0"/>
                <w:sz w:val="18"/>
              </w:rPr>
              <w:t>≤2.45 tCO2e/t [ASSUMPTION on other terms and allocation split]</w:t>
              <w:br/>
              <w:t>(effectively non-binding)</w:t>
            </w:r>
          </w:p>
        </w:tc>
        <w:tc>
          <w:tcPr>
            <w:tcW w:type="dxa" w:w="2340"/>
          </w:tcPr>
          <w:p>
            <w:r>
              <w:rPr>
                <w:b w:val="0"/>
                <w:i w:val="0"/>
                <w:sz w:val="18"/>
              </w:rPr>
            </w:r>
          </w:p>
        </w:tc>
      </w:tr>
    </w:tbl>
    <w:p>
      <w:r>
        <w:br w:type="page"/>
      </w:r>
    </w:p>
    <w:p>
      <w:pPr>
        <w:spacing w:before="200" w:after="80"/>
      </w:pPr>
      <w:r>
        <w:rPr>
          <w:b/>
          <w:i w:val="0"/>
          <w:caps/>
          <w:color w:val="003366"/>
          <w:sz w:val="30"/>
        </w:rPr>
        <w:t>PART 4: KEY STRUCTURAL DISTINCTIONS</w:t>
      </w:r>
    </w:p>
    <w:p>
      <w:pPr>
        <w:spacing w:before="120" w:after="80"/>
      </w:pPr>
      <w:r>
        <w:rPr>
          <w:b/>
          <w:i w:val="0"/>
          <w:color w:val="003366"/>
          <w:sz w:val="24"/>
        </w:rPr>
        <w:t>4.1  Why the Upstream Intensity Differs (45.3 vs 22.8 gCO2e/MJ)</w:t>
      </w:r>
    </w:p>
    <w:p>
      <w:pPr>
        <w:spacing w:before="40" w:after="80"/>
      </w:pPr>
      <w:r>
        <w:rPr>
          <w:b w:val="0"/>
          <w:i w:val="0"/>
          <w:sz w:val="20"/>
        </w:rPr>
        <w:t>The 45.3 vs 22.8 gCO2e/MJ difference comes entirely from where each standard places the bio-oil upstream emissions:</w:t>
      </w:r>
    </w:p>
    <w:p>
      <w:pPr>
        <w:pStyle w:val="ListBullet"/>
        <w:spacing w:after="40"/>
        <w:ind w:left="227"/>
      </w:pPr>
      <w:r>
        <w:rPr>
          <w:b w:val="0"/>
          <w:i w:val="0"/>
          <w:sz w:val="20"/>
        </w:rPr>
        <w:t>RSB Global formula [4]: WtG eligible,f × m eligible,f is divided ONLY by TS adv,fuel (40.9 t). No energy-basis AF is applied to the feedstock term. The full 80 tCO2e goes to 40.9 t SAF.</w:t>
      </w:r>
    </w:p>
    <w:p>
      <w:pPr>
        <w:pStyle w:val="ListBullet"/>
        <w:spacing w:after="40"/>
        <w:ind w:left="227"/>
      </w:pPr>
      <w:r>
        <w:rPr>
          <w:b w:val="0"/>
          <w:i w:val="0"/>
          <w:sz w:val="20"/>
        </w:rPr>
        <w:t>CORSIA: All changes in emissions are allocated to renewable fuel production by energy. The 80 tCO2e is spread across 80 t of total renewable fuel (SAF + renewable diesel), of which SAF receives 24.7% = 19.7 tCO2e.</w:t>
      </w:r>
    </w:p>
    <w:p>
      <w:pPr>
        <w:spacing w:before="40" w:after="80"/>
      </w:pPr>
      <w:r>
        <w:rPr>
          <w:b w:val="0"/>
          <w:i/>
          <w:sz w:val="18"/>
        </w:rPr>
        <w:t>Note: Despite RSB Global producing more certified SAF volume (40.9 t vs. 20 t), it produces a higher upstream GHG intensity per MJ because the full feedstock upstream is charged to that volume. CORSIA's energy allocation across all renewable outputs spreads the burden favorably, but at the cost of a smaller eligible volume.</w:t>
      </w:r>
    </w:p>
    <w:p>
      <w:pPr>
        <w:spacing w:before="120" w:after="80"/>
      </w:pPr>
      <w:r>
        <w:rPr>
          <w:b/>
          <w:i w:val="0"/>
          <w:color w:val="003366"/>
          <w:sz w:val="24"/>
        </w:rPr>
        <w:t>4.2  Why the GHG Threshold Differs (31.5 vs 80.1 gCO2e/MJ)</w:t>
      </w:r>
    </w:p>
    <w:p>
      <w:pPr>
        <w:pStyle w:val="ListBullet"/>
        <w:spacing w:after="40"/>
        <w:ind w:left="227"/>
      </w:pPr>
      <w:r>
        <w:rPr>
          <w:b w:val="0"/>
          <w:i w:val="0"/>
          <w:sz w:val="20"/>
        </w:rPr>
        <w:t>RSB Global applies RSB P&amp;C Criterion 3.b (65% minimum savings) to all operators via STD-01-010 §2.1.1. 65% of 90 gCO2e/MJ = 58.5 gCO2e/MJ savings required → threshold ≤31.5 gCO2e/MJ.</w:t>
      </w:r>
    </w:p>
    <w:p>
      <w:pPr>
        <w:pStyle w:val="ListBullet"/>
        <w:spacing w:after="40"/>
        <w:ind w:left="227"/>
      </w:pPr>
      <w:r>
        <w:rPr>
          <w:b w:val="0"/>
          <w:i w:val="0"/>
          <w:sz w:val="20"/>
        </w:rPr>
        <w:t>CORSIA requires only 10% reduction from the ICAO aviation baseline (89 gCO2e/MJ) → threshold ≤80.1 gCO2e/MJ.</w:t>
      </w:r>
    </w:p>
    <w:p>
      <w:pPr>
        <w:pStyle w:val="ListBullet"/>
        <w:spacing w:after="40"/>
        <w:ind w:left="227"/>
      </w:pPr>
      <w:r>
        <w:rPr>
          <w:b w:val="0"/>
          <w:i w:val="0"/>
          <w:sz w:val="20"/>
        </w:rPr>
        <w:t>RSB CORSIA tier 2 (RSB P&amp;C layer on top of CORSIA) requires 65% savings — same as RSB Global.</w:t>
      </w:r>
    </w:p>
    <w:p>
      <w:pPr>
        <w:spacing w:before="120" w:after="80"/>
      </w:pPr>
      <w:r>
        <w:rPr>
          <w:b/>
          <w:i w:val="0"/>
          <w:color w:val="003366"/>
          <w:sz w:val="24"/>
        </w:rPr>
        <w:t>4.3  Allocation at the Pyrolyzer (Economic vs Energy)</w:t>
      </w:r>
    </w:p>
    <w:p>
      <w:pPr>
        <w:spacing w:before="40" w:after="80"/>
      </w:pPr>
      <w:r>
        <w:rPr>
          <w:b w:val="0"/>
          <w:i w:val="0"/>
          <w:sz w:val="20"/>
        </w:rPr>
        <w:t>RSB Global requires economic allocation (market value basis) between bio-oil and biochar at Charm's pyrolyzer. CORSIA requires energy allocation (LHV basis). This affects the CI that enters the refinery:</w:t>
      </w:r>
    </w:p>
    <w:p>
      <w:pPr>
        <w:pStyle w:val="ListBullet"/>
        <w:spacing w:after="40"/>
        <w:ind w:left="227"/>
      </w:pPr>
      <w:r>
        <w:rPr>
          <w:b w:val="0"/>
          <w:i w:val="0"/>
          <w:sz w:val="20"/>
        </w:rPr>
        <w:t>Under economic allocation: if biochar commands higher market value than bio-oil, biochar absorbs proportionally more of the pyrolysis GHG burden, reducing the bio-oil CI. The document states: "The economic value considered shall be the market value of the product and co-products as specified by the participating operator." (STD-03-001 v3.2)</w:t>
      </w:r>
    </w:p>
    <w:p>
      <w:pPr>
        <w:pStyle w:val="ListBullet"/>
        <w:spacing w:after="40"/>
        <w:ind w:left="227"/>
      </w:pPr>
      <w:r>
        <w:rPr>
          <w:b w:val="0"/>
          <w:i w:val="0"/>
          <w:sz w:val="20"/>
        </w:rPr>
        <w:t>The 0.8 tCO2e/t input must be verified as the economically-allocated bio-oil share before use in RSB Global calculations. If it is pre-allocation, the actual bio-oil CI could be substantially lower.</w:t>
      </w:r>
    </w:p>
    <w:p>
      <w:r>
        <w:br w:type="page"/>
      </w:r>
    </w:p>
    <w:p>
      <w:pPr>
        <w:spacing w:before="200" w:after="80"/>
      </w:pPr>
      <w:r>
        <w:rPr>
          <w:b/>
          <w:i w:val="0"/>
          <w:caps/>
          <w:color w:val="003366"/>
          <w:sz w:val="30"/>
        </w:rPr>
        <w:t>PART 5: STRATEGIC IMPLICATIONS FOR CHARM</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Factor</w:t>
            </w:r>
          </w:p>
        </w:tc>
        <w:tc>
          <w:tcPr>
            <w:tcW w:type="dxa" w:w="3120"/>
            <w:shd w:val="clear" w:color="auto" w:fill="003366"/>
          </w:tcPr>
          <w:p>
            <w:r>
              <w:rPr>
                <w:b/>
                <w:i w:val="0"/>
                <w:color w:val="FFFFFF"/>
                <w:sz w:val="20"/>
              </w:rPr>
              <w:t>RSB Global</w:t>
            </w:r>
          </w:p>
        </w:tc>
        <w:tc>
          <w:tcPr>
            <w:tcW w:type="dxa" w:w="3120"/>
            <w:shd w:val="clear" w:color="auto" w:fill="003366"/>
          </w:tcPr>
          <w:p>
            <w:r>
              <w:rPr>
                <w:b/>
                <w:i w:val="0"/>
                <w:color w:val="FFFFFF"/>
                <w:sz w:val="20"/>
              </w:rPr>
              <w:t>CORSIA</w:t>
            </w:r>
          </w:p>
        </w:tc>
      </w:tr>
      <w:tr>
        <w:tc>
          <w:tcPr>
            <w:tcW w:type="dxa" w:w="3120"/>
          </w:tcPr>
          <w:p>
            <w:r>
              <w:rPr>
                <w:b/>
                <w:i w:val="0"/>
                <w:sz w:val="18"/>
              </w:rPr>
              <w:t>Certified SAF volume from 100 MT bio-oil</w:t>
            </w:r>
          </w:p>
        </w:tc>
        <w:tc>
          <w:tcPr>
            <w:tcW w:type="dxa" w:w="3120"/>
          </w:tcPr>
          <w:p>
            <w:r>
              <w:rPr>
                <w:b w:val="0"/>
                <w:i w:val="0"/>
                <w:sz w:val="18"/>
              </w:rPr>
              <w:t>40.9 t (at ηCi=0.80)</w:t>
            </w:r>
          </w:p>
        </w:tc>
        <w:tc>
          <w:tcPr>
            <w:tcW w:type="dxa" w:w="3120"/>
          </w:tcPr>
          <w:p>
            <w:r>
              <w:rPr>
                <w:b w:val="0"/>
                <w:i w:val="0"/>
                <w:sz w:val="18"/>
              </w:rPr>
              <w:t>20 t (at 5% feed ratio)</w:t>
            </w:r>
          </w:p>
        </w:tc>
      </w:tr>
      <w:tr>
        <w:tc>
          <w:tcPr>
            <w:tcW w:type="dxa" w:w="3120"/>
          </w:tcPr>
          <w:p>
            <w:r>
              <w:rPr>
                <w:b/>
                <w:i w:val="0"/>
                <w:sz w:val="18"/>
              </w:rPr>
              <w:t>GHG threshold</w:t>
            </w:r>
          </w:p>
        </w:tc>
        <w:tc>
          <w:tcPr>
            <w:tcW w:type="dxa" w:w="3120"/>
          </w:tcPr>
          <w:p>
            <w:r>
              <w:rPr>
                <w:b w:val="0"/>
                <w:i w:val="0"/>
                <w:sz w:val="18"/>
              </w:rPr>
              <w:t>Strict: ≤31.5 gCO2e/MJ</w:t>
              <w:br/>
              <w:t>Charm fails at 0.8 tCO2e/t bio-oil (pre-allocation)</w:t>
            </w:r>
          </w:p>
        </w:tc>
        <w:tc>
          <w:tcPr>
            <w:tcW w:type="dxa" w:w="3120"/>
          </w:tcPr>
          <w:p>
            <w:r>
              <w:rPr>
                <w:b w:val="0"/>
                <w:i w:val="0"/>
                <w:sz w:val="18"/>
              </w:rPr>
              <w:t>Lenient: ≤80.1 gCO2e/MJ</w:t>
              <w:br/>
              <w:t>Charm passes at 0.8 tCO2e/t bio-oil</w:t>
            </w:r>
          </w:p>
        </w:tc>
      </w:tr>
      <w:tr>
        <w:tc>
          <w:tcPr>
            <w:tcW w:type="dxa" w:w="3120"/>
          </w:tcPr>
          <w:p>
            <w:r>
              <w:rPr>
                <w:b/>
                <w:i w:val="0"/>
                <w:sz w:val="18"/>
              </w:rPr>
              <w:t>Key lever to reduce CI</w:t>
            </w:r>
          </w:p>
        </w:tc>
        <w:tc>
          <w:tcPr>
            <w:tcW w:type="dxa" w:w="3120"/>
          </w:tcPr>
          <w:p>
            <w:r>
              <w:rPr>
                <w:b w:val="0"/>
                <w:i w:val="0"/>
                <w:sz w:val="18"/>
              </w:rPr>
              <w:t>Economic allocation: high biochar price shifts burden off bio-oil</w:t>
            </w:r>
          </w:p>
        </w:tc>
        <w:tc>
          <w:tcPr>
            <w:tcW w:type="dxa" w:w="3120"/>
          </w:tcPr>
          <w:p>
            <w:r>
              <w:rPr>
                <w:b w:val="0"/>
                <w:i w:val="0"/>
                <w:sz w:val="18"/>
              </w:rPr>
              <w:t>Marginal approach: refinery change in CI minimized by low-carbon processing</w:t>
            </w:r>
          </w:p>
        </w:tc>
      </w:tr>
      <w:tr>
        <w:tc>
          <w:tcPr>
            <w:tcW w:type="dxa" w:w="3120"/>
          </w:tcPr>
          <w:p>
            <w:r>
              <w:rPr>
                <w:b/>
                <w:i w:val="0"/>
                <w:sz w:val="18"/>
              </w:rPr>
              <w:t>C14 / tracing burden</w:t>
            </w:r>
          </w:p>
        </w:tc>
        <w:tc>
          <w:tcPr>
            <w:tcW w:type="dxa" w:w="3120"/>
          </w:tcPr>
          <w:p>
            <w:r>
              <w:rPr>
                <w:b w:val="0"/>
                <w:i w:val="0"/>
                <w:sz w:val="18"/>
              </w:rPr>
              <w:t>None under flexible attribution</w:t>
            </w:r>
          </w:p>
        </w:tc>
        <w:tc>
          <w:tcPr>
            <w:tcW w:type="dxa" w:w="3120"/>
          </w:tcPr>
          <w:p>
            <w:r>
              <w:rPr>
                <w:b w:val="0"/>
                <w:i w:val="0"/>
                <w:sz w:val="18"/>
              </w:rPr>
              <w:t>Physical measurement or EN 16785-2 material balance required</w:t>
            </w:r>
          </w:p>
        </w:tc>
      </w:tr>
      <w:tr>
        <w:tc>
          <w:tcPr>
            <w:tcW w:type="dxa" w:w="3120"/>
          </w:tcPr>
          <w:p>
            <w:r>
              <w:rPr>
                <w:b/>
                <w:i w:val="0"/>
                <w:sz w:val="18"/>
              </w:rPr>
              <w:t>Customer market</w:t>
            </w:r>
          </w:p>
        </w:tc>
        <w:tc>
          <w:tcPr>
            <w:tcW w:type="dxa" w:w="3120"/>
          </w:tcPr>
          <w:p>
            <w:r>
              <w:rPr>
                <w:b w:val="0"/>
                <w:i w:val="0"/>
                <w:sz w:val="18"/>
              </w:rPr>
              <w:t>Voluntary sustainability claims only</w:t>
            </w:r>
          </w:p>
        </w:tc>
        <w:tc>
          <w:tcPr>
            <w:tcW w:type="dxa" w:w="3120"/>
          </w:tcPr>
          <w:p>
            <w:r>
              <w:rPr>
                <w:b w:val="0"/>
                <w:i w:val="0"/>
                <w:sz w:val="18"/>
              </w:rPr>
              <w:t>CORSIA compliance-eligible; higher per-tonne value to airlines with offsetting requirements</w:t>
            </w:r>
          </w:p>
        </w:tc>
      </w:tr>
      <w:tr>
        <w:tc>
          <w:tcPr>
            <w:tcW w:type="dxa" w:w="3120"/>
          </w:tcPr>
          <w:p>
            <w:r>
              <w:rPr>
                <w:b/>
                <w:i w:val="0"/>
                <w:sz w:val="18"/>
              </w:rPr>
              <w:t>Path to dual certification</w:t>
            </w:r>
          </w:p>
        </w:tc>
        <w:tc>
          <w:tcPr>
            <w:tcW w:type="dxa" w:w="3120"/>
          </w:tcPr>
          <w:p>
            <w:r>
              <w:rPr>
                <w:b w:val="0"/>
                <w:i w:val="0"/>
                <w:sz w:val="18"/>
              </w:rPr>
              <w:t>RSB Global does not count for CORSIA compliance</w:t>
            </w:r>
          </w:p>
        </w:tc>
        <w:tc>
          <w:tcPr>
            <w:tcW w:type="dxa" w:w="3120"/>
          </w:tcPr>
          <w:p>
            <w:r>
              <w:rPr>
                <w:b w:val="0"/>
                <w:i w:val="0"/>
                <w:sz w:val="18"/>
              </w:rPr>
              <w:t>CORSIA SAF can also carry RSB P&amp;C tier 2 label (65% threshold same as RSB Global)</w:t>
            </w:r>
          </w:p>
        </w:tc>
      </w:tr>
      <w:tr>
        <w:tc>
          <w:tcPr>
            <w:tcW w:type="dxa" w:w="3120"/>
          </w:tcPr>
          <w:p>
            <w:r>
              <w:rPr>
                <w:b/>
                <w:i w:val="0"/>
                <w:sz w:val="18"/>
              </w:rPr>
              <w:t>Open questions before proceeding</w:t>
            </w:r>
          </w:p>
        </w:tc>
        <w:tc>
          <w:tcPr>
            <w:tcW w:type="dxa" w:w="3120"/>
          </w:tcPr>
          <w:p>
            <w:r>
              <w:rPr>
                <w:b w:val="0"/>
                <w:i w:val="0"/>
                <w:sz w:val="18"/>
              </w:rPr>
              <w:t>OCI-1: Does GUI-01-013-01 apply to RSB Global pathway?</w:t>
              <w:br/>
              <w:t>OCI-2: Does GUI-PG-2025-02 apply to RSB Global GHG calc?</w:t>
              <w:br/>
              <w:t>OCI-3: Refinery partner RSB certification</w:t>
            </w:r>
          </w:p>
        </w:tc>
        <w:tc>
          <w:tcPr>
            <w:tcW w:type="dxa" w:w="3120"/>
          </w:tcPr>
          <w:p>
            <w:r>
              <w:rPr>
                <w:b w:val="0"/>
                <w:i w:val="0"/>
                <w:sz w:val="18"/>
              </w:rPr>
              <w:t>CORSIA pyrolysis bio-oil pathway not yet in ICAO positive list;</w:t>
              <w:br/>
              <w:t>Needs ICAO pathway approval process</w:t>
            </w:r>
          </w:p>
        </w:tc>
      </w:tr>
    </w:tbl>
    <w:p>
      <w:r>
        <w:br w:type="page"/>
      </w:r>
    </w:p>
    <w:p>
      <w:pPr>
        <w:spacing w:before="200" w:after="80"/>
      </w:pPr>
      <w:r>
        <w:rPr>
          <w:b/>
          <w:i w:val="0"/>
          <w:caps/>
          <w:color w:val="003366"/>
          <w:sz w:val="30"/>
        </w:rPr>
        <w:t>PRIMARY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i w:val="0"/>
                <w:color w:val="FFFFFF"/>
                <w:sz w:val="20"/>
              </w:rPr>
              <w:t>Document</w:t>
            </w:r>
          </w:p>
        </w:tc>
        <w:tc>
          <w:tcPr>
            <w:tcW w:type="dxa" w:w="3120"/>
            <w:shd w:val="clear" w:color="auto" w:fill="003366"/>
          </w:tcPr>
          <w:p>
            <w:r>
              <w:rPr>
                <w:b/>
                <w:i w:val="0"/>
                <w:color w:val="FFFFFF"/>
                <w:sz w:val="20"/>
              </w:rPr>
              <w:t>Version</w:t>
            </w:r>
          </w:p>
        </w:tc>
        <w:tc>
          <w:tcPr>
            <w:tcW w:type="dxa" w:w="3120"/>
            <w:shd w:val="clear" w:color="auto" w:fill="003366"/>
          </w:tcPr>
          <w:p>
            <w:r>
              <w:rPr>
                <w:b/>
                <w:i w:val="0"/>
                <w:color w:val="FFFFFF"/>
                <w:sz w:val="20"/>
              </w:rPr>
              <w:t>Key sections used</w:t>
            </w:r>
          </w:p>
        </w:tc>
      </w:tr>
      <w:tr>
        <w:tc>
          <w:tcPr>
            <w:tcW w:type="dxa" w:w="3120"/>
          </w:tcPr>
          <w:p>
            <w:r>
              <w:rPr>
                <w:b w:val="0"/>
                <w:i w:val="0"/>
                <w:sz w:val="18"/>
              </w:rPr>
              <w:t>RSB-STD-01-010</w:t>
              <w:br/>
              <w:t>RSB Standard for Advanced Fuels</w:t>
            </w:r>
          </w:p>
        </w:tc>
        <w:tc>
          <w:tcPr>
            <w:tcW w:type="dxa" w:w="3120"/>
          </w:tcPr>
          <w:p>
            <w:r>
              <w:rPr>
                <w:b w:val="0"/>
                <w:i w:val="0"/>
                <w:sz w:val="18"/>
              </w:rPr>
              <w:t>v2.8, April 2026</w:t>
            </w:r>
          </w:p>
        </w:tc>
        <w:tc>
          <w:tcPr>
            <w:tcW w:type="dxa" w:w="3120"/>
          </w:tcPr>
          <w:p>
            <w:r>
              <w:rPr>
                <w:b w:val="0"/>
                <w:i w:val="0"/>
                <w:sz w:val="18"/>
              </w:rPr>
              <w:t>§2.1.1 (RSB P&amp;C applies to RSB Global); §2.4.5 (flexible attribution option); Annex IV formulas [1]-[8] (flexible attribution calculation)</w:t>
            </w:r>
          </w:p>
        </w:tc>
      </w:tr>
      <w:tr>
        <w:tc>
          <w:tcPr>
            <w:tcW w:type="dxa" w:w="3120"/>
          </w:tcPr>
          <w:p>
            <w:r>
              <w:rPr>
                <w:b w:val="0"/>
                <w:i w:val="0"/>
                <w:sz w:val="18"/>
              </w:rPr>
              <w:t>RSB-STD-03-001 (prev. RSB-STD-01-003-01)</w:t>
              <w:br/>
              <w:t>RSB GHG Calculation Methodology</w:t>
            </w:r>
          </w:p>
        </w:tc>
        <w:tc>
          <w:tcPr>
            <w:tcW w:type="dxa" w:w="3120"/>
          </w:tcPr>
          <w:p>
            <w:r>
              <w:rPr>
                <w:b w:val="0"/>
                <w:i w:val="0"/>
                <w:sz w:val="18"/>
              </w:rPr>
              <w:t>v3.2, July 2025</w:t>
            </w:r>
          </w:p>
        </w:tc>
        <w:tc>
          <w:tcPr>
            <w:tcW w:type="dxa" w:w="3120"/>
          </w:tcPr>
          <w:p>
            <w:r>
              <w:rPr>
                <w:b w:val="0"/>
                <w:i w:val="0"/>
                <w:sz w:val="18"/>
              </w:rPr>
              <w:t>Table 1 (economic allocation mandatory for RSB Global biofuels); Table 2 (fossil comparators: 90 gCO2e/MJ RSB Global, 89 gCO2e/MJ CORSIA); A.9 (GHG savings formula)</w:t>
            </w:r>
          </w:p>
        </w:tc>
      </w:tr>
      <w:tr>
        <w:tc>
          <w:tcPr>
            <w:tcW w:type="dxa" w:w="3120"/>
          </w:tcPr>
          <w:p>
            <w:r>
              <w:rPr>
                <w:b w:val="0"/>
                <w:i w:val="0"/>
                <w:sz w:val="18"/>
              </w:rPr>
              <w:t>RSB-STD-01-001</w:t>
              <w:br/>
              <w:t>RSB Principles &amp; Criteria</w:t>
            </w:r>
          </w:p>
        </w:tc>
        <w:tc>
          <w:tcPr>
            <w:tcW w:type="dxa" w:w="3120"/>
          </w:tcPr>
          <w:p>
            <w:r>
              <w:rPr>
                <w:b w:val="0"/>
                <w:i w:val="0"/>
                <w:sz w:val="18"/>
              </w:rPr>
              <w:t>Current</w:t>
            </w:r>
          </w:p>
        </w:tc>
        <w:tc>
          <w:tcPr>
            <w:tcW w:type="dxa" w:w="3120"/>
          </w:tcPr>
          <w:p>
            <w:r>
              <w:rPr>
                <w:b w:val="0"/>
                <w:i w:val="0"/>
                <w:sz w:val="18"/>
              </w:rPr>
              <w:t>Criterion 3.b (minimum 65% GHG savings for biofuels from installations starting ≥1 Jan 2021); Transitional pathway (50% by 2025, 60% by 2030, 65% by 2035)</w:t>
            </w:r>
          </w:p>
        </w:tc>
      </w:tr>
      <w:tr>
        <w:tc>
          <w:tcPr>
            <w:tcW w:type="dxa" w:w="3120"/>
          </w:tcPr>
          <w:p>
            <w:r>
              <w:rPr>
                <w:b w:val="0"/>
                <w:i w:val="0"/>
                <w:sz w:val="18"/>
              </w:rPr>
              <w:t>RSB-STD-12-001</w:t>
              <w:br/>
              <w:t>RSB ICAO CORSIA</w:t>
            </w:r>
          </w:p>
        </w:tc>
        <w:tc>
          <w:tcPr>
            <w:tcW w:type="dxa" w:w="3120"/>
          </w:tcPr>
          <w:p>
            <w:r>
              <w:rPr>
                <w:b w:val="0"/>
                <w:i w:val="0"/>
                <w:sz w:val="18"/>
              </w:rPr>
              <w:t>v1.6, June 2025</w:t>
            </w:r>
          </w:p>
        </w:tc>
        <w:tc>
          <w:tcPr>
            <w:tcW w:type="dxa" w:w="3120"/>
          </w:tcPr>
          <w:p>
            <w:r>
              <w:rPr>
                <w:b w:val="0"/>
                <w:i w:val="0"/>
                <w:sz w:val="18"/>
              </w:rPr>
              <w:t>§3.4.5.5 (mass balance, material-specific conversion, no cross-material transfer); §3.4.7.1 (energy allocation at refinery); Lines 489-492 (10% CORSIA GHG reduction requirement)</w:t>
            </w:r>
          </w:p>
        </w:tc>
      </w:tr>
      <w:tr>
        <w:tc>
          <w:tcPr>
            <w:tcW w:type="dxa" w:w="3120"/>
          </w:tcPr>
          <w:p>
            <w:r>
              <w:rPr>
                <w:b w:val="0"/>
                <w:i w:val="0"/>
                <w:sz w:val="18"/>
              </w:rPr>
              <w:t>ICAO CORSIA LCA Methodology</w:t>
              <w:br/>
              <w:t>CORSIA Supporting Document</w:t>
            </w:r>
          </w:p>
        </w:tc>
        <w:tc>
          <w:tcPr>
            <w:tcW w:type="dxa" w:w="3120"/>
          </w:tcPr>
          <w:p>
            <w:r>
              <w:rPr>
                <w:b w:val="0"/>
                <w:i w:val="0"/>
                <w:sz w:val="18"/>
              </w:rPr>
              <w:t>V8, November 2025</w:t>
            </w:r>
          </w:p>
        </w:tc>
        <w:tc>
          <w:tcPr>
            <w:tcW w:type="dxa" w:w="3120"/>
          </w:tcPr>
          <w:p>
            <w:r>
              <w:rPr>
                <w:b w:val="0"/>
                <w:i w:val="0"/>
                <w:sz w:val="18"/>
              </w:rPr>
              <w:t>Chapter 6: marginal approach for co-processing; "All changes in energy use and emissions allocated to renewable fuel production"; Energy allocation among renewable fuel products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