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97D"/>
          <w:sz w:val="40"/>
        </w:rPr>
        <w:t>SAF Credit Generation: Pathway Analysis and Recommendation</w:t>
      </w:r>
    </w:p>
    <w:p>
      <w:pPr>
        <w:spacing w:after="240"/>
      </w:pPr>
      <w:r>
        <w:rPr>
          <w:rFonts w:ascii="Calibri" w:hAnsi="Calibri"/>
          <w:i/>
          <w:color w:val="707070"/>
          <w:sz w:val="20"/>
        </w:rPr>
        <w:t>Charm Industrial   |   Internal   |   June 2, 2026</w:t>
      </w:r>
    </w:p>
    <w:p>
      <w:pPr>
        <w:pStyle w:val="Heading1"/>
      </w:pPr>
      <w:r>
        <w:t>Executive Summary</w:t>
      </w:r>
    </w:p>
    <w:p>
      <w:pPr>
        <w:pStyle w:val="ListBullet"/>
      </w:pPr>
      <w:r>
        <w:rPr>
          <w:rFonts w:ascii="Calibri" w:hAnsi="Calibri"/>
          <w:b/>
          <w:sz w:val="22"/>
        </w:rPr>
        <w:t xml:space="preserve">Opportunity: </w:t>
      </w:r>
      <w:r>
        <w:rPr>
          <w:rFonts w:ascii="Calibri" w:hAnsi="Calibri"/>
          <w:sz w:val="22"/>
        </w:rPr>
        <w:t>Charm's bio-oil qualifies as a SAF feedstock at an FCC refinery, creating an opportunity to generate SAF credits alongside CDR credits from the same production process.</w:t>
      </w:r>
    </w:p>
    <w:p>
      <w:pPr>
        <w:pStyle w:val="ListBullet"/>
      </w:pPr>
      <w:r>
        <w:rPr>
          <w:rFonts w:ascii="Calibri" w:hAnsi="Calibri"/>
          <w:b/>
          <w:sz w:val="22"/>
        </w:rPr>
        <w:t xml:space="preserve">Framework: </w:t>
      </w:r>
      <w:r>
        <w:rPr>
          <w:rFonts w:ascii="Calibri" w:hAnsi="Calibri"/>
          <w:sz w:val="22"/>
        </w:rPr>
        <w:t>The governing standard is SFC MBM (SFC-SPEC-001) with 123 Carbon as the registry. SFC MBM names ISCC and RSB as certified pathways and also includes a non-certified methodology track with specific criteria that must be met.</w:t>
      </w:r>
    </w:p>
    <w:p>
      <w:pPr>
        <w:pStyle w:val="ListBullet"/>
      </w:pPr>
      <w:r>
        <w:rPr>
          <w:rFonts w:ascii="Calibri" w:hAnsi="Calibri"/>
          <w:b/>
          <w:sz w:val="22"/>
        </w:rPr>
        <w:t xml:space="preserve">Named pathways are not workable: </w:t>
      </w:r>
      <w:r>
        <w:rPr>
          <w:rFonts w:ascii="Calibri" w:hAnsi="Calibri"/>
          <w:sz w:val="22"/>
        </w:rPr>
        <w:t>RSB certification fails the GHG savings threshold at current bio-oil CI. ISCC certification carries significant supply chain certification burden and conflicts with Charm's emissions allocation approach. Both eliminate the 123C acceptance question, but neither is practically viable.</w:t>
      </w:r>
    </w:p>
    <w:p>
      <w:pPr>
        <w:pStyle w:val="ListBullet"/>
      </w:pPr>
      <w:r>
        <w:rPr>
          <w:rFonts w:ascii="Calibri" w:hAnsi="Calibri"/>
          <w:b/>
          <w:sz w:val="22"/>
        </w:rPr>
        <w:t xml:space="preserve">Recommendation: </w:t>
      </w:r>
      <w:r>
        <w:rPr>
          <w:rFonts w:ascii="Calibri" w:hAnsi="Calibri"/>
          <w:sz w:val="22"/>
        </w:rPr>
        <w:t>Pursue the non-certified methodology track under SFC MBM. First, 123C and/or SFC must clarify the criteria for that track. Customer requirements are then defined. A customer-identified third-party methodology partner develops a methodology that satisfies SFC MBM criteria, customer requirements, and is operationally workable for Charm and the refinery partner. All stakeholders validate before launch.</w:t>
      </w:r>
    </w:p>
    <w:p>
      <w:pPr>
        <w:pStyle w:val="ListBullet"/>
      </w:pPr>
      <w:r>
        <w:rPr>
          <w:rFonts w:ascii="Calibri" w:hAnsi="Calibri"/>
          <w:b/>
          <w:sz w:val="22"/>
        </w:rPr>
        <w:t xml:space="preserve">Full self-certification (SCE) is the alternative: </w:t>
      </w:r>
      <w:r>
        <w:rPr>
          <w:rFonts w:ascii="Calibri" w:hAnsi="Calibri"/>
          <w:sz w:val="22"/>
        </w:rPr>
        <w:t>Charm manages methodology and registry entirely internally, outside the SFC MBM framework. Lowest lift but lowest integrity signal, highest conflict-of-interest exposure, and least likely to satisfy customer requirements.</w:t>
      </w:r>
    </w:p>
    <w:p>
      <w:pPr>
        <w:pStyle w:val="ListBullet"/>
      </w:pPr>
      <w:r>
        <w:rPr>
          <w:rFonts w:ascii="Calibri" w:hAnsi="Calibri"/>
          <w:b/>
          <w:sz w:val="22"/>
        </w:rPr>
        <w:t xml:space="preserve">Key open items: </w:t>
      </w:r>
      <w:r>
        <w:rPr>
          <w:rFonts w:ascii="Calibri" w:hAnsi="Calibri"/>
          <w:sz w:val="22"/>
        </w:rPr>
        <w:t>SFC MBM non-certified track criteria (to be clarified by 123C / SFC); internal alignment on customer conflict prioritization; third-party methodology partner selection.</w:t>
      </w:r>
    </w:p>
    <w:p>
      <w:pPr>
        <w:pStyle w:val="Heading1"/>
      </w:pPr>
      <w:r>
        <w:t>1. The Framework</w:t>
      </w:r>
    </w:p>
    <w:p>
      <w:pPr>
        <w:spacing w:after="120"/>
      </w:pPr>
      <w:r>
        <w:rPr>
          <w:rFonts w:ascii="Calibri" w:hAnsi="Calibri"/>
          <w:sz w:val="22"/>
        </w:rPr>
        <w:t>SFC MBM (SFC-SPEC-001) is the overarching standard under which SAF credits will be generated and registered. 123 Carbon is the registry. All viable pathways operate within this framework.</w:t>
      </w:r>
    </w:p>
    <w:p>
      <w:pPr>
        <w:pStyle w:val="Heading2"/>
      </w:pPr>
      <w:r>
        <w:t>Pathways within SFC MBM</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F497D"/>
          </w:tcPr>
          <w:p>
            <w:pPr>
              <w:spacing w:before="40" w:after="40"/>
            </w:pPr>
            <w:r>
              <w:rPr>
                <w:rFonts w:ascii="Calibri" w:hAnsi="Calibri"/>
                <w:b/>
                <w:color w:val="FFFFFF"/>
                <w:sz w:val="20"/>
              </w:rPr>
              <w:t>Pathway</w:t>
            </w:r>
          </w:p>
        </w:tc>
        <w:tc>
          <w:tcPr>
            <w:tcW w:type="dxa" w:w="2016"/>
            <w:shd w:val="clear" w:color="auto" w:fill="1F497D"/>
          </w:tcPr>
          <w:p>
            <w:pPr>
              <w:spacing w:before="40" w:after="40"/>
            </w:pPr>
            <w:r>
              <w:rPr>
                <w:rFonts w:ascii="Calibri" w:hAnsi="Calibri"/>
                <w:b/>
                <w:color w:val="FFFFFF"/>
                <w:sz w:val="20"/>
              </w:rPr>
              <w:t>Named in SFC MBM</w:t>
            </w:r>
          </w:p>
        </w:tc>
        <w:tc>
          <w:tcPr>
            <w:tcW w:type="dxa" w:w="2016"/>
            <w:shd w:val="clear" w:color="auto" w:fill="1F497D"/>
          </w:tcPr>
          <w:p>
            <w:pPr>
              <w:spacing w:before="40" w:after="40"/>
            </w:pPr>
            <w:r>
              <w:rPr>
                <w:rFonts w:ascii="Calibri" w:hAnsi="Calibri"/>
                <w:b/>
                <w:color w:val="FFFFFF"/>
                <w:sz w:val="20"/>
              </w:rPr>
              <w:t>123C acceptance</w:t>
            </w:r>
          </w:p>
        </w:tc>
        <w:tc>
          <w:tcPr>
            <w:tcW w:type="dxa" w:w="2304"/>
            <w:shd w:val="clear" w:color="auto" w:fill="1F497D"/>
          </w:tcPr>
          <w:p>
            <w:pPr>
              <w:spacing w:before="40" w:after="40"/>
            </w:pPr>
            <w:r>
              <w:rPr>
                <w:rFonts w:ascii="Calibri" w:hAnsi="Calibri"/>
                <w:b/>
                <w:color w:val="FFFFFF"/>
                <w:sz w:val="20"/>
              </w:rPr>
              <w:t>Status</w:t>
            </w:r>
          </w:p>
        </w:tc>
      </w:tr>
      <w:tr>
        <w:tc>
          <w:tcPr>
            <w:tcW w:type="dxa" w:w="2592"/>
            <w:shd w:val="clear" w:color="auto" w:fill="DCE6F1"/>
          </w:tcPr>
          <w:p>
            <w:pPr>
              <w:spacing w:before="40" w:after="40"/>
            </w:pPr>
            <w:r>
              <w:rPr>
                <w:rFonts w:ascii="Calibri" w:hAnsi="Calibri"/>
                <w:b w:val="0"/>
                <w:sz w:val="20"/>
              </w:rPr>
              <w:t>ISCC certification</w:t>
            </w:r>
          </w:p>
        </w:tc>
        <w:tc>
          <w:tcPr>
            <w:tcW w:type="dxa" w:w="2016"/>
            <w:shd w:val="clear" w:color="auto" w:fill="DCE6F1"/>
          </w:tcPr>
          <w:p>
            <w:pPr>
              <w:spacing w:before="40" w:after="40"/>
            </w:pPr>
            <w:r>
              <w:rPr>
                <w:rFonts w:ascii="Calibri" w:hAnsi="Calibri"/>
                <w:b w:val="0"/>
                <w:sz w:val="20"/>
              </w:rPr>
              <w:t>Named in SFC MBM</w:t>
            </w:r>
          </w:p>
        </w:tc>
        <w:tc>
          <w:tcPr>
            <w:tcW w:type="dxa" w:w="2016"/>
            <w:shd w:val="clear" w:color="auto" w:fill="DCE6F1"/>
          </w:tcPr>
          <w:p>
            <w:pPr>
              <w:spacing w:before="40" w:after="40"/>
            </w:pPr>
            <w:r>
              <w:rPr>
                <w:rFonts w:ascii="Calibri" w:hAnsi="Calibri"/>
                <w:b w:val="0"/>
                <w:sz w:val="20"/>
              </w:rPr>
              <w:t>Guaranteed</w:t>
            </w:r>
          </w:p>
        </w:tc>
        <w:tc>
          <w:tcPr>
            <w:tcW w:type="dxa" w:w="2304"/>
            <w:shd w:val="clear" w:color="auto" w:fill="DCE6F1"/>
          </w:tcPr>
          <w:p>
            <w:pPr>
              <w:spacing w:before="40" w:after="40"/>
            </w:pPr>
            <w:r>
              <w:rPr>
                <w:rFonts w:ascii="Calibri" w:hAnsi="Calibri"/>
                <w:b w:val="0"/>
                <w:sz w:val="20"/>
              </w:rPr>
              <w:t>Significant friction — allocation conflict, supply chain certification burden, refinery cert requirement</w:t>
            </w:r>
          </w:p>
        </w:tc>
      </w:tr>
      <w:tr>
        <w:tc>
          <w:tcPr>
            <w:tcW w:type="dxa" w:w="2592"/>
            <w:shd w:val="clear" w:color="auto" w:fill="FFFFFF"/>
          </w:tcPr>
          <w:p>
            <w:pPr>
              <w:spacing w:before="40" w:after="40"/>
            </w:pPr>
            <w:r>
              <w:rPr>
                <w:rFonts w:ascii="Calibri" w:hAnsi="Calibri"/>
                <w:b w:val="0"/>
                <w:sz w:val="20"/>
              </w:rPr>
              <w:t>RSB certification</w:t>
            </w:r>
          </w:p>
        </w:tc>
        <w:tc>
          <w:tcPr>
            <w:tcW w:type="dxa" w:w="2016"/>
            <w:shd w:val="clear" w:color="auto" w:fill="FFFFFF"/>
          </w:tcPr>
          <w:p>
            <w:pPr>
              <w:spacing w:before="40" w:after="40"/>
            </w:pPr>
            <w:r>
              <w:rPr>
                <w:rFonts w:ascii="Calibri" w:hAnsi="Calibri"/>
                <w:b w:val="0"/>
                <w:sz w:val="20"/>
              </w:rPr>
              <w:t>Named in SFC MBM</w:t>
            </w:r>
          </w:p>
        </w:tc>
        <w:tc>
          <w:tcPr>
            <w:tcW w:type="dxa" w:w="2016"/>
            <w:shd w:val="clear" w:color="auto" w:fill="FFFFFF"/>
          </w:tcPr>
          <w:p>
            <w:pPr>
              <w:spacing w:before="40" w:after="40"/>
            </w:pPr>
            <w:r>
              <w:rPr>
                <w:rFonts w:ascii="Calibri" w:hAnsi="Calibri"/>
                <w:b w:val="0"/>
                <w:sz w:val="20"/>
              </w:rPr>
              <w:t>Guaranteed</w:t>
            </w:r>
          </w:p>
        </w:tc>
        <w:tc>
          <w:tcPr>
            <w:tcW w:type="dxa" w:w="2304"/>
            <w:shd w:val="clear" w:color="auto" w:fill="FFFFFF"/>
          </w:tcPr>
          <w:p>
            <w:pPr>
              <w:spacing w:before="40" w:after="40"/>
            </w:pPr>
            <w:r>
              <w:rPr>
                <w:rFonts w:ascii="Calibri" w:hAnsi="Calibri"/>
                <w:b w:val="0"/>
                <w:sz w:val="20"/>
              </w:rPr>
              <w:t>GHG savings threshold failure at current bio-oil CI</w:t>
            </w:r>
          </w:p>
        </w:tc>
      </w:tr>
      <w:tr>
        <w:tc>
          <w:tcPr>
            <w:tcW w:type="dxa" w:w="2592"/>
            <w:shd w:val="clear" w:color="auto" w:fill="DCE6F1"/>
          </w:tcPr>
          <w:p>
            <w:pPr>
              <w:spacing w:before="40" w:after="40"/>
            </w:pPr>
            <w:r>
              <w:rPr>
                <w:rFonts w:ascii="Calibri" w:hAnsi="Calibri"/>
                <w:b w:val="0"/>
                <w:sz w:val="20"/>
              </w:rPr>
              <w:t>Non-certified methodology</w:t>
            </w:r>
          </w:p>
        </w:tc>
        <w:tc>
          <w:tcPr>
            <w:tcW w:type="dxa" w:w="2016"/>
            <w:shd w:val="clear" w:color="auto" w:fill="DCE6F1"/>
          </w:tcPr>
          <w:p>
            <w:pPr>
              <w:spacing w:before="40" w:after="40"/>
            </w:pPr>
            <w:r>
              <w:rPr>
                <w:rFonts w:ascii="Calibri" w:hAnsi="Calibri"/>
                <w:b w:val="0"/>
                <w:sz w:val="20"/>
              </w:rPr>
              <w:t>Yes (specific criteria apply)</w:t>
            </w:r>
          </w:p>
        </w:tc>
        <w:tc>
          <w:tcPr>
            <w:tcW w:type="dxa" w:w="2016"/>
            <w:shd w:val="clear" w:color="auto" w:fill="DCE6F1"/>
          </w:tcPr>
          <w:p>
            <w:pPr>
              <w:spacing w:before="40" w:after="40"/>
            </w:pPr>
            <w:r>
              <w:rPr>
                <w:rFonts w:ascii="Calibri" w:hAnsi="Calibri"/>
                <w:b w:val="0"/>
                <w:sz w:val="20"/>
              </w:rPr>
              <w:t>Requires criteria compliance</w:t>
            </w:r>
          </w:p>
        </w:tc>
        <w:tc>
          <w:tcPr>
            <w:tcW w:type="dxa" w:w="2304"/>
            <w:shd w:val="clear" w:color="auto" w:fill="DCE6F1"/>
          </w:tcPr>
          <w:p>
            <w:pPr>
              <w:spacing w:before="40" w:after="40"/>
            </w:pPr>
            <w:r>
              <w:rPr>
                <w:rFonts w:ascii="Calibri" w:hAnsi="Calibri"/>
                <w:b w:val="0"/>
                <w:sz w:val="20"/>
              </w:rPr>
              <w:t>Recommended — but requires 123C/SFC to clarify criteria first</w:t>
            </w:r>
          </w:p>
        </w:tc>
      </w:tr>
    </w:tbl>
    <w:p>
      <w:pPr>
        <w:spacing w:after="120"/>
      </w:pPr>
      <w:r>
        <w:rPr>
          <w:rFonts w:ascii="Calibri" w:hAnsi="Calibri"/>
          <w:sz w:val="22"/>
        </w:rPr>
      </w:r>
    </w:p>
    <w:p>
      <w:pPr>
        <w:spacing w:after="120"/>
      </w:pPr>
      <w:r>
        <w:rPr>
          <w:rFonts w:ascii="Calibri" w:hAnsi="Calibri"/>
          <w:sz w:val="22"/>
        </w:rPr>
        <w:t>Full self-certification (SCE) — in which Charm manages methodology and registry entirely internally without operating under SFC MBM — is also an option but is evaluated separately as the least desirable path.</w:t>
      </w:r>
    </w:p>
    <w:p>
      <w:pPr>
        <w:pStyle w:val="Heading1"/>
      </w:pPr>
      <w:r>
        <w:t>2. The Production System</w:t>
      </w:r>
    </w:p>
    <w:p>
      <w:pPr>
        <w:spacing w:after="120"/>
      </w:pPr>
      <w:r>
        <w:rPr>
          <w:rFonts w:ascii="Calibri" w:hAnsi="Calibri"/>
          <w:sz w:val="22"/>
        </w:rPr>
        <w:t>SAF credit generation from Charm bio-oil spans 14 steps from biomass sourcing through credit retirement. Any methodology — certified or not — must address each step.</w:t>
      </w:r>
    </w:p>
    <w:tbl>
      <w:tblPr>
        <w:tblStyle w:val="TableGrid"/>
        <w:tblW w:type="auto" w:w="0"/>
        <w:tblLook w:firstColumn="1" w:firstRow="1" w:lastColumn="0" w:lastRow="0" w:noHBand="0" w:noVBand="1" w:val="04A0"/>
      </w:tblPr>
      <w:tblGrid>
        <w:gridCol w:w="4320"/>
        <w:gridCol w:w="4320"/>
      </w:tblGrid>
      <w:tr>
        <w:tc>
          <w:tcPr>
            <w:tcW w:type="dxa" w:w="720"/>
            <w:shd w:val="clear" w:color="auto" w:fill="1F497D"/>
          </w:tcPr>
          <w:p>
            <w:pPr>
              <w:spacing w:before="40" w:after="40"/>
            </w:pPr>
            <w:r>
              <w:rPr>
                <w:rFonts w:ascii="Calibri" w:hAnsi="Calibri"/>
                <w:b/>
                <w:color w:val="FFFFFF"/>
                <w:sz w:val="20"/>
              </w:rPr>
              <w:t>Step</w:t>
            </w:r>
          </w:p>
        </w:tc>
        <w:tc>
          <w:tcPr>
            <w:tcW w:type="dxa" w:w="8208"/>
            <w:shd w:val="clear" w:color="auto" w:fill="1F497D"/>
          </w:tcPr>
          <w:p>
            <w:pPr>
              <w:spacing w:before="40" w:after="40"/>
            </w:pPr>
            <w:r>
              <w:rPr>
                <w:rFonts w:ascii="Calibri" w:hAnsi="Calibri"/>
                <w:b/>
                <w:color w:val="FFFFFF"/>
                <w:sz w:val="20"/>
              </w:rPr>
              <w:t>Description</w:t>
            </w:r>
          </w:p>
        </w:tc>
      </w:tr>
      <w:tr>
        <w:tc>
          <w:tcPr>
            <w:tcW w:type="dxa" w:w="720"/>
            <w:shd w:val="clear" w:color="auto" w:fill="DCE6F1"/>
          </w:tcPr>
          <w:p>
            <w:pPr>
              <w:spacing w:before="40" w:after="40"/>
            </w:pPr>
            <w:r>
              <w:rPr>
                <w:rFonts w:ascii="Calibri" w:hAnsi="Calibri"/>
                <w:b w:val="0"/>
                <w:sz w:val="20"/>
              </w:rPr>
              <w:t>1</w:t>
            </w:r>
          </w:p>
        </w:tc>
        <w:tc>
          <w:tcPr>
            <w:tcW w:type="dxa" w:w="8208"/>
            <w:shd w:val="clear" w:color="auto" w:fill="DCE6F1"/>
          </w:tcPr>
          <w:p>
            <w:pPr>
              <w:spacing w:before="40" w:after="40"/>
            </w:pPr>
            <w:r>
              <w:rPr>
                <w:rFonts w:ascii="Calibri" w:hAnsi="Calibri"/>
                <w:b w:val="0"/>
                <w:sz w:val="20"/>
              </w:rPr>
              <w:t>Biomass sourcing and collection</w:t>
            </w:r>
          </w:p>
        </w:tc>
      </w:tr>
      <w:tr>
        <w:tc>
          <w:tcPr>
            <w:tcW w:type="dxa" w:w="720"/>
            <w:shd w:val="clear" w:color="auto" w:fill="FFFFFF"/>
          </w:tcPr>
          <w:p>
            <w:pPr>
              <w:spacing w:before="40" w:after="40"/>
            </w:pPr>
            <w:r>
              <w:rPr>
                <w:rFonts w:ascii="Calibri" w:hAnsi="Calibri"/>
                <w:b w:val="0"/>
                <w:sz w:val="20"/>
              </w:rPr>
              <w:t>2</w:t>
            </w:r>
          </w:p>
        </w:tc>
        <w:tc>
          <w:tcPr>
            <w:tcW w:type="dxa" w:w="8208"/>
            <w:shd w:val="clear" w:color="auto" w:fill="FFFFFF"/>
          </w:tcPr>
          <w:p>
            <w:pPr>
              <w:spacing w:before="40" w:after="40"/>
            </w:pPr>
            <w:r>
              <w:rPr>
                <w:rFonts w:ascii="Calibri" w:hAnsi="Calibri"/>
                <w:b w:val="0"/>
                <w:sz w:val="20"/>
              </w:rPr>
              <w:t>Biomass transport to conversion site</w:t>
            </w:r>
          </w:p>
        </w:tc>
      </w:tr>
      <w:tr>
        <w:tc>
          <w:tcPr>
            <w:tcW w:type="dxa" w:w="720"/>
            <w:shd w:val="clear" w:color="auto" w:fill="DCE6F1"/>
          </w:tcPr>
          <w:p>
            <w:pPr>
              <w:spacing w:before="40" w:after="40"/>
            </w:pPr>
            <w:r>
              <w:rPr>
                <w:rFonts w:ascii="Calibri" w:hAnsi="Calibri"/>
                <w:b w:val="0"/>
                <w:sz w:val="20"/>
              </w:rPr>
              <w:t>3</w:t>
            </w:r>
          </w:p>
        </w:tc>
        <w:tc>
          <w:tcPr>
            <w:tcW w:type="dxa" w:w="8208"/>
            <w:shd w:val="clear" w:color="auto" w:fill="DCE6F1"/>
          </w:tcPr>
          <w:p>
            <w:pPr>
              <w:spacing w:before="40" w:after="40"/>
            </w:pPr>
            <w:r>
              <w:rPr>
                <w:rFonts w:ascii="Calibri" w:hAnsi="Calibri"/>
                <w:b w:val="0"/>
                <w:sz w:val="20"/>
              </w:rPr>
              <w:t>Biomass conversion (pyrolysis)</w:t>
            </w:r>
          </w:p>
        </w:tc>
      </w:tr>
      <w:tr>
        <w:tc>
          <w:tcPr>
            <w:tcW w:type="dxa" w:w="720"/>
            <w:shd w:val="clear" w:color="auto" w:fill="FFFFFF"/>
          </w:tcPr>
          <w:p>
            <w:pPr>
              <w:spacing w:before="40" w:after="40"/>
            </w:pPr>
            <w:r>
              <w:rPr>
                <w:rFonts w:ascii="Calibri" w:hAnsi="Calibri"/>
                <w:b w:val="0"/>
                <w:sz w:val="20"/>
              </w:rPr>
              <w:t>4</w:t>
            </w:r>
          </w:p>
        </w:tc>
        <w:tc>
          <w:tcPr>
            <w:tcW w:type="dxa" w:w="8208"/>
            <w:shd w:val="clear" w:color="auto" w:fill="FFFFFF"/>
          </w:tcPr>
          <w:p>
            <w:pPr>
              <w:spacing w:before="40" w:after="40"/>
            </w:pPr>
            <w:r>
              <w:rPr>
                <w:rFonts w:ascii="Calibri" w:hAnsi="Calibri"/>
                <w:b w:val="0"/>
                <w:sz w:val="20"/>
              </w:rPr>
              <w:t>Allocation of tree-to-gate emissions to co-products (bio-oil and biochar)</w:t>
            </w:r>
          </w:p>
        </w:tc>
      </w:tr>
      <w:tr>
        <w:tc>
          <w:tcPr>
            <w:tcW w:type="dxa" w:w="720"/>
            <w:shd w:val="clear" w:color="auto" w:fill="DCE6F1"/>
          </w:tcPr>
          <w:p>
            <w:pPr>
              <w:spacing w:before="40" w:after="40"/>
            </w:pPr>
            <w:r>
              <w:rPr>
                <w:rFonts w:ascii="Calibri" w:hAnsi="Calibri"/>
                <w:b w:val="0"/>
                <w:sz w:val="20"/>
              </w:rPr>
              <w:t>5</w:t>
            </w:r>
          </w:p>
        </w:tc>
        <w:tc>
          <w:tcPr>
            <w:tcW w:type="dxa" w:w="8208"/>
            <w:shd w:val="clear" w:color="auto" w:fill="DCE6F1"/>
          </w:tcPr>
          <w:p>
            <w:pPr>
              <w:spacing w:before="40" w:after="40"/>
            </w:pPr>
            <w:r>
              <w:rPr>
                <w:rFonts w:ascii="Calibri" w:hAnsi="Calibri"/>
                <w:b w:val="0"/>
                <w:sz w:val="20"/>
              </w:rPr>
              <w:t>Transport of bio-oil to refinery</w:t>
            </w:r>
          </w:p>
        </w:tc>
      </w:tr>
      <w:tr>
        <w:tc>
          <w:tcPr>
            <w:tcW w:type="dxa" w:w="720"/>
            <w:shd w:val="clear" w:color="auto" w:fill="FFFFFF"/>
          </w:tcPr>
          <w:p>
            <w:pPr>
              <w:spacing w:before="40" w:after="40"/>
            </w:pPr>
            <w:r>
              <w:rPr>
                <w:rFonts w:ascii="Calibri" w:hAnsi="Calibri"/>
                <w:b w:val="0"/>
                <w:sz w:val="20"/>
              </w:rPr>
              <w:t>6</w:t>
            </w:r>
          </w:p>
        </w:tc>
        <w:tc>
          <w:tcPr>
            <w:tcW w:type="dxa" w:w="8208"/>
            <w:shd w:val="clear" w:color="auto" w:fill="FFFFFF"/>
          </w:tcPr>
          <w:p>
            <w:pPr>
              <w:spacing w:before="40" w:after="40"/>
            </w:pPr>
            <w:r>
              <w:rPr>
                <w:rFonts w:ascii="Calibri" w:hAnsi="Calibri"/>
                <w:b w:val="0"/>
                <w:sz w:val="20"/>
              </w:rPr>
              <w:t>Refinery co-processing into fuel co-products</w:t>
            </w:r>
          </w:p>
        </w:tc>
      </w:tr>
      <w:tr>
        <w:tc>
          <w:tcPr>
            <w:tcW w:type="dxa" w:w="720"/>
            <w:shd w:val="clear" w:color="auto" w:fill="DCE6F1"/>
          </w:tcPr>
          <w:p>
            <w:pPr>
              <w:spacing w:before="40" w:after="40"/>
            </w:pPr>
            <w:r>
              <w:rPr>
                <w:rFonts w:ascii="Calibri" w:hAnsi="Calibri"/>
                <w:b w:val="0"/>
                <w:sz w:val="20"/>
              </w:rPr>
              <w:t>7</w:t>
            </w:r>
          </w:p>
        </w:tc>
        <w:tc>
          <w:tcPr>
            <w:tcW w:type="dxa" w:w="8208"/>
            <w:shd w:val="clear" w:color="auto" w:fill="DCE6F1"/>
          </w:tcPr>
          <w:p>
            <w:pPr>
              <w:spacing w:before="40" w:after="40"/>
            </w:pPr>
            <w:r>
              <w:rPr>
                <w:rFonts w:ascii="Calibri" w:hAnsi="Calibri"/>
                <w:b w:val="0"/>
                <w:sz w:val="20"/>
              </w:rPr>
              <w:t>Allocation of marginal refinery emissions to co-products</w:t>
            </w:r>
          </w:p>
        </w:tc>
      </w:tr>
      <w:tr>
        <w:tc>
          <w:tcPr>
            <w:tcW w:type="dxa" w:w="720"/>
            <w:shd w:val="clear" w:color="auto" w:fill="FFFFFF"/>
          </w:tcPr>
          <w:p>
            <w:pPr>
              <w:spacing w:before="40" w:after="40"/>
            </w:pPr>
            <w:r>
              <w:rPr>
                <w:rFonts w:ascii="Calibri" w:hAnsi="Calibri"/>
                <w:b w:val="0"/>
                <w:sz w:val="20"/>
              </w:rPr>
              <w:t>8</w:t>
            </w:r>
          </w:p>
        </w:tc>
        <w:tc>
          <w:tcPr>
            <w:tcW w:type="dxa" w:w="8208"/>
            <w:shd w:val="clear" w:color="auto" w:fill="FFFFFF"/>
          </w:tcPr>
          <w:p>
            <w:pPr>
              <w:spacing w:before="40" w:after="40"/>
            </w:pPr>
            <w:r>
              <w:rPr>
                <w:rFonts w:ascii="Calibri" w:hAnsi="Calibri"/>
                <w:b w:val="0"/>
                <w:sz w:val="20"/>
              </w:rPr>
              <w:t>Allocation of biogenic carbon credit to fuel co-products</w:t>
            </w:r>
          </w:p>
        </w:tc>
      </w:tr>
      <w:tr>
        <w:tc>
          <w:tcPr>
            <w:tcW w:type="dxa" w:w="720"/>
            <w:shd w:val="clear" w:color="auto" w:fill="DCE6F1"/>
          </w:tcPr>
          <w:p>
            <w:pPr>
              <w:spacing w:before="40" w:after="40"/>
            </w:pPr>
            <w:r>
              <w:rPr>
                <w:rFonts w:ascii="Calibri" w:hAnsi="Calibri"/>
                <w:b w:val="0"/>
                <w:sz w:val="20"/>
              </w:rPr>
              <w:t>9</w:t>
            </w:r>
          </w:p>
        </w:tc>
        <w:tc>
          <w:tcPr>
            <w:tcW w:type="dxa" w:w="8208"/>
            <w:shd w:val="clear" w:color="auto" w:fill="DCE6F1"/>
          </w:tcPr>
          <w:p>
            <w:pPr>
              <w:spacing w:before="40" w:after="40"/>
            </w:pPr>
            <w:r>
              <w:rPr>
                <w:rFonts w:ascii="Calibri" w:hAnsi="Calibri"/>
                <w:b w:val="0"/>
                <w:sz w:val="20"/>
              </w:rPr>
              <w:t>Transport of fuel(s) to blend point</w:t>
            </w:r>
          </w:p>
        </w:tc>
      </w:tr>
      <w:tr>
        <w:tc>
          <w:tcPr>
            <w:tcW w:type="dxa" w:w="720"/>
            <w:shd w:val="clear" w:color="auto" w:fill="FFFFFF"/>
          </w:tcPr>
          <w:p>
            <w:pPr>
              <w:spacing w:before="40" w:after="40"/>
            </w:pPr>
            <w:r>
              <w:rPr>
                <w:rFonts w:ascii="Calibri" w:hAnsi="Calibri"/>
                <w:b w:val="0"/>
                <w:sz w:val="20"/>
              </w:rPr>
              <w:t>10</w:t>
            </w:r>
          </w:p>
        </w:tc>
        <w:tc>
          <w:tcPr>
            <w:tcW w:type="dxa" w:w="8208"/>
            <w:shd w:val="clear" w:color="auto" w:fill="FFFFFF"/>
          </w:tcPr>
          <w:p>
            <w:pPr>
              <w:spacing w:before="40" w:after="40"/>
            </w:pPr>
            <w:r>
              <w:rPr>
                <w:rFonts w:ascii="Calibri" w:hAnsi="Calibri"/>
                <w:b w:val="0"/>
                <w:sz w:val="20"/>
              </w:rPr>
              <w:t>Quantification of tree-to-wheel CI</w:t>
            </w:r>
          </w:p>
        </w:tc>
      </w:tr>
      <w:tr>
        <w:tc>
          <w:tcPr>
            <w:tcW w:type="dxa" w:w="720"/>
            <w:shd w:val="clear" w:color="auto" w:fill="DCE6F1"/>
          </w:tcPr>
          <w:p>
            <w:pPr>
              <w:spacing w:before="40" w:after="40"/>
            </w:pPr>
            <w:r>
              <w:rPr>
                <w:rFonts w:ascii="Calibri" w:hAnsi="Calibri"/>
                <w:b w:val="0"/>
                <w:sz w:val="20"/>
              </w:rPr>
              <w:t>11</w:t>
            </w:r>
          </w:p>
        </w:tc>
        <w:tc>
          <w:tcPr>
            <w:tcW w:type="dxa" w:w="8208"/>
            <w:shd w:val="clear" w:color="auto" w:fill="DCE6F1"/>
          </w:tcPr>
          <w:p>
            <w:pPr>
              <w:spacing w:before="40" w:after="40"/>
            </w:pPr>
            <w:r>
              <w:rPr>
                <w:rFonts w:ascii="Calibri" w:hAnsi="Calibri"/>
                <w:b w:val="0"/>
                <w:sz w:val="20"/>
              </w:rPr>
              <w:t>Quantification of GHG reductions vs. fossil fuel baseline</w:t>
            </w:r>
          </w:p>
        </w:tc>
      </w:tr>
      <w:tr>
        <w:tc>
          <w:tcPr>
            <w:tcW w:type="dxa" w:w="720"/>
            <w:shd w:val="clear" w:color="auto" w:fill="FFFFFF"/>
          </w:tcPr>
          <w:p>
            <w:pPr>
              <w:spacing w:before="40" w:after="40"/>
            </w:pPr>
            <w:r>
              <w:rPr>
                <w:rFonts w:ascii="Calibri" w:hAnsi="Calibri"/>
                <w:b w:val="0"/>
                <w:sz w:val="20"/>
              </w:rPr>
              <w:t>12</w:t>
            </w:r>
          </w:p>
        </w:tc>
        <w:tc>
          <w:tcPr>
            <w:tcW w:type="dxa" w:w="8208"/>
            <w:shd w:val="clear" w:color="auto" w:fill="FFFFFF"/>
          </w:tcPr>
          <w:p>
            <w:pPr>
              <w:spacing w:before="40" w:after="40"/>
            </w:pPr>
            <w:r>
              <w:rPr>
                <w:rFonts w:ascii="Calibri" w:hAnsi="Calibri"/>
                <w:b w:val="0"/>
                <w:sz w:val="20"/>
              </w:rPr>
              <w:t>Verification of quantified reductions</w:t>
            </w:r>
          </w:p>
        </w:tc>
      </w:tr>
      <w:tr>
        <w:tc>
          <w:tcPr>
            <w:tcW w:type="dxa" w:w="720"/>
            <w:shd w:val="clear" w:color="auto" w:fill="DCE6F1"/>
          </w:tcPr>
          <w:p>
            <w:pPr>
              <w:spacing w:before="40" w:after="40"/>
            </w:pPr>
            <w:r>
              <w:rPr>
                <w:rFonts w:ascii="Calibri" w:hAnsi="Calibri"/>
                <w:b w:val="0"/>
                <w:sz w:val="20"/>
              </w:rPr>
              <w:t>13</w:t>
            </w:r>
          </w:p>
        </w:tc>
        <w:tc>
          <w:tcPr>
            <w:tcW w:type="dxa" w:w="8208"/>
            <w:shd w:val="clear" w:color="auto" w:fill="DCE6F1"/>
          </w:tcPr>
          <w:p>
            <w:pPr>
              <w:spacing w:before="40" w:after="40"/>
            </w:pPr>
            <w:r>
              <w:rPr>
                <w:rFonts w:ascii="Calibri" w:hAnsi="Calibri"/>
                <w:b w:val="0"/>
                <w:sz w:val="20"/>
              </w:rPr>
              <w:t>Credit issuance on a registry</w:t>
            </w:r>
          </w:p>
        </w:tc>
      </w:tr>
      <w:tr>
        <w:tc>
          <w:tcPr>
            <w:tcW w:type="dxa" w:w="720"/>
            <w:shd w:val="clear" w:color="auto" w:fill="FFFFFF"/>
          </w:tcPr>
          <w:p>
            <w:pPr>
              <w:spacing w:before="40" w:after="40"/>
            </w:pPr>
            <w:r>
              <w:rPr>
                <w:rFonts w:ascii="Calibri" w:hAnsi="Calibri"/>
                <w:b w:val="0"/>
                <w:sz w:val="20"/>
              </w:rPr>
              <w:t>14</w:t>
            </w:r>
          </w:p>
        </w:tc>
        <w:tc>
          <w:tcPr>
            <w:tcW w:type="dxa" w:w="8208"/>
            <w:shd w:val="clear" w:color="auto" w:fill="FFFFFF"/>
          </w:tcPr>
          <w:p>
            <w:pPr>
              <w:spacing w:before="40" w:after="40"/>
            </w:pPr>
            <w:r>
              <w:rPr>
                <w:rFonts w:ascii="Calibri" w:hAnsi="Calibri"/>
                <w:b w:val="0"/>
                <w:sz w:val="20"/>
              </w:rPr>
              <w:t>Credit delivery, retirement, and integrity</w:t>
            </w:r>
          </w:p>
        </w:tc>
      </w:tr>
    </w:tbl>
    <w:p>
      <w:pPr>
        <w:pStyle w:val="Heading1"/>
      </w:pPr>
      <w:r>
        <w:t>3. Why Named Certification Schemes Don't Work</w:t>
      </w:r>
    </w:p>
    <w:p>
      <w:pPr>
        <w:spacing w:after="120"/>
      </w:pPr>
      <w:r>
        <w:rPr>
          <w:rFonts w:ascii="Calibri" w:hAnsi="Calibri"/>
          <w:sz w:val="22"/>
        </w:rPr>
        <w:t>Both schemes named in SFC MBM were evaluated against the 14-step system. Friction is mapped to the specific step where it bites. RSB ICAO CORSIA was also evaluated and ruled out at the outset.</w:t>
      </w:r>
    </w:p>
    <w:p>
      <w:pPr>
        <w:pStyle w:val="Heading2"/>
      </w:pPr>
      <w:r>
        <w:t>RSB ICAO CORSIA — Ruled Out (Not an SFC MBM Pathway)</w:t>
      </w:r>
    </w:p>
    <w:p>
      <w:pPr>
        <w:spacing w:after="120"/>
      </w:pPr>
      <w:r>
        <w:rPr>
          <w:rFonts w:ascii="Calibri" w:hAnsi="Calibri"/>
          <w:sz w:val="22"/>
        </w:rPr>
        <w:t>CORSIA was evaluated as a potential pathway before settling on SFC MBM as the framework. It is a structural non-starter regardless of framework:</w:t>
      </w:r>
    </w:p>
    <w:p>
      <w:pPr>
        <w:pStyle w:val="ListBullet"/>
      </w:pPr>
      <w:r>
        <w:rPr>
          <w:rFonts w:ascii="Calibri" w:hAnsi="Calibri"/>
          <w:b/>
          <w:sz w:val="22"/>
        </w:rPr>
        <w:t xml:space="preserve">Step 8 — Biogenic carbon allocation: </w:t>
      </w:r>
      <w:r>
        <w:rPr>
          <w:rFonts w:ascii="Calibri" w:hAnsi="Calibri"/>
          <w:sz w:val="22"/>
        </w:rPr>
        <w:t>CORSIA prohibits free allocation of biogenic carbon. The bio-based proportion of each refinery output is fixed by the process conversion factor — the operator cannot designate which output receives the biogenic credit. This makes the SAF credit economics unworkable. No workaround exists within CORSIA.</w:t>
      </w:r>
    </w:p>
    <w:p>
      <w:pPr>
        <w:pStyle w:val="Heading2"/>
      </w:pPr>
      <w:r>
        <w:t>RSB Global Advanced Fuels + 123C</w:t>
      </w:r>
    </w:p>
    <w:p>
      <w:pPr>
        <w:pStyle w:val="ListBullet"/>
      </w:pPr>
      <w:r>
        <w:rPr>
          <w:rFonts w:ascii="Calibri" w:hAnsi="Calibri"/>
          <w:b/>
          <w:sz w:val="22"/>
        </w:rPr>
        <w:t xml:space="preserve">Step 11 — GHG savings threshold: </w:t>
      </w:r>
      <w:r>
        <w:rPr>
          <w:rFonts w:ascii="Calibri" w:hAnsi="Calibri"/>
          <w:sz w:val="22"/>
        </w:rPr>
        <w:t>RSB Principle 3b requires a minimum 65% reduction vs. the 90 gCO2e/MJ fossil SAF comparator (threshold: 31.5 gCO2e/MJ). The transitional pathway (available until 2035) eases this to 50% savings (45.0 gCO2e/MJ). Charm's average WODO CI in 2025 was 0.8 tCO2e/t bio-oil — 45.3 gCO2e/MJ upstream assuming a SAF lower heating value of 43,200 MJ/t. That figure exceeds the transitional threshold before refinery marginal emissions or downstream transport are counted. RSB fails unless economic allocation at the pyrolyzer shifts enough burden to biochar to bring the bio-oil CI below the threshold — an outcome that has not been demonstrated.</w:t>
      </w:r>
    </w:p>
    <w:p>
      <w:pPr>
        <w:pStyle w:val="ListBullet"/>
      </w:pPr>
      <w:r>
        <w:rPr>
          <w:rFonts w:ascii="Calibri" w:hAnsi="Calibri"/>
          <w:b/>
          <w:sz w:val="22"/>
        </w:rPr>
        <w:t xml:space="preserve">Step 4 — Pyrolyzer co-product allocation: </w:t>
      </w:r>
      <w:r>
        <w:rPr>
          <w:rFonts w:ascii="Calibri" w:hAnsi="Calibri"/>
          <w:sz w:val="22"/>
        </w:rPr>
        <w:t>RSB mandates economic allocation. Because bio-oil commands a significantly higher market price than biochar, economic allocation likely assigns more emissions to bio-oil — worsening the Step 11 problem.</w:t>
      </w:r>
    </w:p>
    <w:p>
      <w:pPr>
        <w:pStyle w:val="ListBullet"/>
      </w:pPr>
      <w:r>
        <w:rPr>
          <w:rFonts w:ascii="Calibri" w:hAnsi="Calibri"/>
          <w:b/>
          <w:sz w:val="22"/>
        </w:rPr>
        <w:t xml:space="preserve">Step 1 — Supply chain certification: </w:t>
      </w:r>
      <w:r>
        <w:rPr>
          <w:rFonts w:ascii="Calibri" w:hAnsi="Calibri"/>
          <w:sz w:val="22"/>
        </w:rPr>
        <w:t>Every biomass First Gathering Point in Charm's supply chain would require RSB certification, adding a substantial and ongoing burden on feedstock suppliers.</w:t>
      </w:r>
    </w:p>
    <w:p>
      <w:pPr>
        <w:pStyle w:val="Heading2"/>
      </w:pPr>
      <w:r>
        <w:t>ISCC PLUS + 123C</w:t>
      </w:r>
    </w:p>
    <w:p>
      <w:pPr>
        <w:pStyle w:val="ListBullet"/>
      </w:pPr>
      <w:r>
        <w:rPr>
          <w:rFonts w:ascii="Calibri" w:hAnsi="Calibri"/>
          <w:b/>
          <w:sz w:val="22"/>
        </w:rPr>
        <w:t xml:space="preserve">Step 4 — Pyrolyzer co-product allocation: </w:t>
      </w:r>
      <w:r>
        <w:rPr>
          <w:rFonts w:ascii="Calibri" w:hAnsi="Calibri"/>
          <w:sz w:val="22"/>
        </w:rPr>
        <w:t>ISCC PLUS V3.4.2 states that energy allocation should always be used when the main product is used energetically. Charm uses a carbon-mass-balance approach (a form of mass allocation). An auditor could challenge this at certification, creating risk at a step that already requires careful navigation.</w:t>
      </w:r>
    </w:p>
    <w:p>
      <w:pPr>
        <w:pStyle w:val="ListBullet"/>
      </w:pPr>
      <w:r>
        <w:rPr>
          <w:rFonts w:ascii="Calibri" w:hAnsi="Calibri"/>
          <w:b/>
          <w:sz w:val="22"/>
        </w:rPr>
        <w:t xml:space="preserve">Step 1 — Biomass supply chain certification: </w:t>
      </w:r>
      <w:r>
        <w:rPr>
          <w:rFonts w:ascii="Calibri" w:hAnsi="Calibri"/>
          <w:sz w:val="22"/>
        </w:rPr>
        <w:t>Every First Gathering Point must be ISCC certified (or the upstream forest must be FSC Forest Management certified). Charm's wildfire fuel-reduction biomass — sourced as whole logs — likely classifies as forestry primary product, not waste or residue, triggering the full Level A risk assessment and certification chain. How Isometric's independent forester carve-out maps to ISCC requirements is not established.</w:t>
      </w:r>
    </w:p>
    <w:p>
      <w:pPr>
        <w:pStyle w:val="ListBullet"/>
      </w:pPr>
      <w:r>
        <w:rPr>
          <w:rFonts w:ascii="Calibri" w:hAnsi="Calibri"/>
          <w:b/>
          <w:sz w:val="22"/>
        </w:rPr>
        <w:t xml:space="preserve">Step 6 — Refinery certification: </w:t>
      </w:r>
      <w:r>
        <w:rPr>
          <w:rFonts w:ascii="Calibri" w:hAnsi="Calibri"/>
          <w:sz w:val="22"/>
        </w:rPr>
        <w:t>The FCC refinery must also be ISCC certified. Charm does not control this.</w:t>
      </w:r>
    </w:p>
    <w:p>
      <w:pPr>
        <w:pStyle w:val="ListBullet"/>
      </w:pPr>
      <w:r>
        <w:rPr>
          <w:rFonts w:ascii="Calibri" w:hAnsi="Calibri"/>
          <w:b/>
          <w:sz w:val="22"/>
        </w:rPr>
        <w:t xml:space="preserve">Note — no GHG threshold: </w:t>
      </w:r>
      <w:r>
        <w:rPr>
          <w:rFonts w:ascii="Calibri" w:hAnsi="Calibri"/>
          <w:sz w:val="22"/>
        </w:rPr>
        <w:t>ISCC PLUS has no minimum GHG savings threshold. This is favorable but also means it functions primarily as a sustainability certification, not a GHG methodology — which may matter to buyers seeking verified CI reductions.</w:t>
      </w:r>
    </w:p>
    <w:p>
      <w:pPr>
        <w:pStyle w:val="Heading1"/>
      </w:pPr>
      <w:r>
        <w:t>4. The Recommended Path: Non-Certified Track Under SFC MBM</w:t>
      </w:r>
    </w:p>
    <w:p>
      <w:pPr>
        <w:spacing w:after="120"/>
      </w:pPr>
      <w:r>
        <w:rPr>
          <w:rFonts w:ascii="Calibri" w:hAnsi="Calibri"/>
          <w:sz w:val="22"/>
        </w:rPr>
        <w:t>SFC MBM includes a provision for non-certified accounting methodologies, provided they meet specific criteria. This is the recommended path. The process has four stages, which must run in order because each stage defines the scope of the next.</w:t>
      </w:r>
    </w:p>
    <w:p>
      <w:pPr>
        <w:pStyle w:val="Heading2"/>
      </w:pPr>
      <w:r>
        <w:t>Stage 1: Clarify the SFC MBM Non-Certified Criteria</w:t>
      </w:r>
    </w:p>
    <w:p>
      <w:pPr>
        <w:spacing w:after="120"/>
      </w:pPr>
      <w:r>
        <w:rPr>
          <w:rFonts w:ascii="Calibri" w:hAnsi="Calibri"/>
          <w:sz w:val="22"/>
        </w:rPr>
        <w:t>123C and/or SFC must clarify what criteria a non-certified methodology must meet to qualify under SFC MBM. These criteria are unknown at present. Until they are defined, the scope of work that can be put to a methodology developer is incomplete.</w:t>
      </w:r>
    </w:p>
    <w:p>
      <w:pPr>
        <w:pStyle w:val="Heading2"/>
      </w:pPr>
      <w:r>
        <w:t>Stage 2: Define Customer Requirements</w:t>
      </w:r>
    </w:p>
    <w:p>
      <w:pPr>
        <w:spacing w:after="120"/>
      </w:pPr>
      <w:r>
        <w:rPr>
          <w:rFonts w:ascii="Calibri" w:hAnsi="Calibri"/>
          <w:sz w:val="22"/>
        </w:rPr>
        <w:t>Key buyers (Amazon, DHL, and others) must specify their non-quantification requirements — e.g., community benefit standards, supply chain traceability criteria, third-party auditor preferences. These requirements, combined with the SFC MBM criteria from Stage 1, define the full scope that the methodology must satisfy.</w:t>
      </w:r>
    </w:p>
    <w:p>
      <w:pPr>
        <w:pStyle w:val="Heading2"/>
      </w:pPr>
      <w:r>
        <w:t>Stage 3: Select a Third-Party Methodology Partner</w:t>
      </w:r>
    </w:p>
    <w:p>
      <w:pPr>
        <w:spacing w:after="120"/>
      </w:pPr>
      <w:r>
        <w:rPr>
          <w:rFonts w:ascii="Calibri" w:hAnsi="Calibri"/>
          <w:sz w:val="22"/>
        </w:rPr>
        <w:t>Key customers identify a preferred third-party methodology developer (e.g., Carbon Direct, EcoEngineers). Customer identification of the partner serves two purposes: it ensures the methodology developer has customer credibility, and it builds customer acceptance into the process from the start rather than retrofitting it.</w:t>
      </w:r>
    </w:p>
    <w:p>
      <w:pPr>
        <w:pStyle w:val="Heading2"/>
      </w:pPr>
      <w:r>
        <w:t>Stage 4: Develop, Validate, and Register</w:t>
      </w:r>
    </w:p>
    <w:p>
      <w:pPr>
        <w:spacing w:after="120"/>
      </w:pPr>
      <w:r>
        <w:rPr>
          <w:rFonts w:ascii="Calibri" w:hAnsi="Calibri"/>
          <w:sz w:val="22"/>
        </w:rPr>
        <w:t>Working with the selected partner, develop a methodology that satisfies:</w:t>
      </w:r>
    </w:p>
    <w:p>
      <w:pPr>
        <w:pStyle w:val="ListBullet"/>
      </w:pPr>
      <w:r>
        <w:rPr>
          <w:rFonts w:ascii="Calibri" w:hAnsi="Calibri"/>
          <w:b/>
          <w:sz w:val="22"/>
        </w:rPr>
        <w:t xml:space="preserve">SFC MBM non-certified track criteria </w:t>
      </w:r>
      <w:r>
        <w:rPr>
          <w:rFonts w:ascii="Calibri" w:hAnsi="Calibri"/>
          <w:sz w:val="22"/>
        </w:rPr>
        <w:t>(from Stage 1)</w:t>
      </w:r>
    </w:p>
    <w:p>
      <w:pPr>
        <w:pStyle w:val="ListBullet"/>
      </w:pPr>
      <w:r>
        <w:rPr>
          <w:rFonts w:ascii="Calibri" w:hAnsi="Calibri"/>
          <w:b/>
          <w:sz w:val="22"/>
        </w:rPr>
        <w:t xml:space="preserve">Customer requirements </w:t>
      </w:r>
      <w:r>
        <w:rPr>
          <w:rFonts w:ascii="Calibri" w:hAnsi="Calibri"/>
          <w:sz w:val="22"/>
        </w:rPr>
        <w:t>(from Stage 2)</w:t>
      </w:r>
    </w:p>
    <w:p>
      <w:pPr>
        <w:pStyle w:val="ListBullet"/>
      </w:pPr>
      <w:r>
        <w:rPr>
          <w:rFonts w:ascii="Calibri" w:hAnsi="Calibri"/>
          <w:b/>
          <w:sz w:val="22"/>
        </w:rPr>
        <w:t xml:space="preserve">Operational workability </w:t>
      </w:r>
      <w:r>
        <w:rPr>
          <w:rFonts w:ascii="Calibri" w:hAnsi="Calibri"/>
          <w:sz w:val="22"/>
        </w:rPr>
        <w:t>for Charm and the refinery partner</w:t>
      </w:r>
    </w:p>
    <w:p>
      <w:pPr>
        <w:spacing w:after="120"/>
      </w:pPr>
      <w:r>
        <w:rPr>
          <w:rFonts w:ascii="Calibri" w:hAnsi="Calibri"/>
          <w:sz w:val="22"/>
        </w:rPr>
      </w:r>
    </w:p>
    <w:p>
      <w:pPr>
        <w:spacing w:after="120"/>
      </w:pPr>
      <w:r>
        <w:rPr>
          <w:rFonts w:ascii="Calibri" w:hAnsi="Calibri"/>
          <w:sz w:val="22"/>
        </w:rPr>
        <w:t>The methodology must be validated by all stakeholders before launch. Validation is not a single sign-off — it requires explicit acceptance from 123C (methodology meets SFC MBM criteria), from key customers (methodology meets their requirements), and from Charm and the refinery (methodology is operationally executable).</w:t>
      </w:r>
    </w:p>
    <w:p>
      <w:pPr>
        <w:pStyle w:val="Heading2"/>
      </w:pPr>
      <w:r>
        <w:t>System Approach by Step</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1F497D"/>
          </w:tcPr>
          <w:p>
            <w:pPr>
              <w:spacing w:before="40" w:after="40"/>
            </w:pPr>
            <w:r>
              <w:rPr>
                <w:rFonts w:ascii="Calibri" w:hAnsi="Calibri"/>
                <w:b/>
                <w:color w:val="FFFFFF"/>
                <w:sz w:val="20"/>
              </w:rPr>
              <w:t>Steps</w:t>
            </w:r>
          </w:p>
        </w:tc>
        <w:tc>
          <w:tcPr>
            <w:tcW w:type="dxa" w:w="5040"/>
            <w:shd w:val="clear" w:color="auto" w:fill="1F497D"/>
          </w:tcPr>
          <w:p>
            <w:pPr>
              <w:spacing w:before="40" w:after="40"/>
            </w:pPr>
            <w:r>
              <w:rPr>
                <w:rFonts w:ascii="Calibri" w:hAnsi="Calibri"/>
                <w:b/>
                <w:color w:val="FFFFFF"/>
                <w:sz w:val="20"/>
              </w:rPr>
              <w:t>Approach</w:t>
            </w:r>
          </w:p>
        </w:tc>
        <w:tc>
          <w:tcPr>
            <w:tcW w:type="dxa" w:w="2880"/>
            <w:shd w:val="clear" w:color="auto" w:fill="1F497D"/>
          </w:tcPr>
          <w:p>
            <w:pPr>
              <w:spacing w:before="40" w:after="40"/>
            </w:pPr>
            <w:r>
              <w:rPr>
                <w:rFonts w:ascii="Calibri" w:hAnsi="Calibri"/>
                <w:b/>
                <w:color w:val="FFFFFF"/>
                <w:sz w:val="20"/>
              </w:rPr>
              <w:t>Source / Owner</w:t>
            </w:r>
          </w:p>
        </w:tc>
      </w:tr>
      <w:tr>
        <w:tc>
          <w:tcPr>
            <w:tcW w:type="dxa" w:w="1008"/>
            <w:shd w:val="clear" w:color="auto" w:fill="DCE6F1"/>
          </w:tcPr>
          <w:p>
            <w:pPr>
              <w:spacing w:before="40" w:after="40"/>
            </w:pPr>
            <w:r>
              <w:rPr>
                <w:rFonts w:ascii="Calibri" w:hAnsi="Calibri"/>
                <w:b w:val="0"/>
                <w:sz w:val="20"/>
              </w:rPr>
              <w:t>1-5</w:t>
            </w:r>
          </w:p>
        </w:tc>
        <w:tc>
          <w:tcPr>
            <w:tcW w:type="dxa" w:w="5040"/>
            <w:shd w:val="clear" w:color="auto" w:fill="DCE6F1"/>
          </w:tcPr>
          <w:p>
            <w:pPr>
              <w:spacing w:before="40" w:after="40"/>
            </w:pPr>
            <w:r>
              <w:rPr>
                <w:rFonts w:ascii="Calibri" w:hAnsi="Calibri"/>
                <w:b w:val="0"/>
                <w:sz w:val="20"/>
              </w:rPr>
              <w:t>Existing Isometric-validated methodology reused: biomass eligibility, tree-to-gate CI,</w:t>
              <w:br/>
              <w:t>co-product allocation, transport emissions</w:t>
            </w:r>
          </w:p>
        </w:tc>
        <w:tc>
          <w:tcPr>
            <w:tcW w:type="dxa" w:w="2880"/>
            <w:shd w:val="clear" w:color="auto" w:fill="DCE6F1"/>
          </w:tcPr>
          <w:p>
            <w:pPr>
              <w:spacing w:before="40" w:after="40"/>
            </w:pPr>
            <w:r>
              <w:rPr>
                <w:rFonts w:ascii="Calibri" w:hAnsi="Calibri"/>
                <w:b w:val="0"/>
                <w:sz w:val="20"/>
              </w:rPr>
              <w:t>Isometric-validated (no new work)</w:t>
            </w:r>
          </w:p>
        </w:tc>
      </w:tr>
      <w:tr>
        <w:tc>
          <w:tcPr>
            <w:tcW w:type="dxa" w:w="1008"/>
            <w:shd w:val="clear" w:color="auto" w:fill="FFFFFF"/>
          </w:tcPr>
          <w:p>
            <w:pPr>
              <w:spacing w:before="40" w:after="40"/>
            </w:pPr>
            <w:r>
              <w:rPr>
                <w:rFonts w:ascii="Calibri" w:hAnsi="Calibri"/>
                <w:b w:val="0"/>
                <w:sz w:val="20"/>
              </w:rPr>
              <w:t>6-8</w:t>
            </w:r>
          </w:p>
        </w:tc>
        <w:tc>
          <w:tcPr>
            <w:tcW w:type="dxa" w:w="5040"/>
            <w:shd w:val="clear" w:color="auto" w:fill="FFFFFF"/>
          </w:tcPr>
          <w:p>
            <w:pPr>
              <w:spacing w:before="40" w:after="40"/>
            </w:pPr>
            <w:r>
              <w:rPr>
                <w:rFonts w:ascii="Calibri" w:hAnsi="Calibri"/>
                <w:b w:val="0"/>
                <w:sz w:val="20"/>
              </w:rPr>
              <w:t>Novel methodology developed with third-party partner: refinery co-processing, marginal</w:t>
              <w:br/>
              <w:t>emissions allocation, free allocation of biogenic carbon to SAF</w:t>
            </w:r>
          </w:p>
        </w:tc>
        <w:tc>
          <w:tcPr>
            <w:tcW w:type="dxa" w:w="2880"/>
            <w:shd w:val="clear" w:color="auto" w:fill="FFFFFF"/>
          </w:tcPr>
          <w:p>
            <w:pPr>
              <w:spacing w:before="40" w:after="40"/>
            </w:pPr>
            <w:r>
              <w:rPr>
                <w:rFonts w:ascii="Calibri" w:hAnsi="Calibri"/>
                <w:b w:val="0"/>
                <w:sz w:val="20"/>
              </w:rPr>
              <w:t>Third-party partner develops;</w:t>
              <w:br/>
              <w:t>satisfies SFC MBM criteria + customer requirements</w:t>
            </w:r>
          </w:p>
        </w:tc>
      </w:tr>
      <w:tr>
        <w:tc>
          <w:tcPr>
            <w:tcW w:type="dxa" w:w="1008"/>
            <w:shd w:val="clear" w:color="auto" w:fill="DCE6F1"/>
          </w:tcPr>
          <w:p>
            <w:pPr>
              <w:spacing w:before="40" w:after="40"/>
            </w:pPr>
            <w:r>
              <w:rPr>
                <w:rFonts w:ascii="Calibri" w:hAnsi="Calibri"/>
                <w:b w:val="0"/>
                <w:sz w:val="20"/>
              </w:rPr>
              <w:t>9</w:t>
            </w:r>
          </w:p>
        </w:tc>
        <w:tc>
          <w:tcPr>
            <w:tcW w:type="dxa" w:w="5040"/>
            <w:shd w:val="clear" w:color="auto" w:fill="DCE6F1"/>
          </w:tcPr>
          <w:p>
            <w:pPr>
              <w:spacing w:before="40" w:after="40"/>
            </w:pPr>
            <w:r>
              <w:rPr>
                <w:rFonts w:ascii="Calibri" w:hAnsi="Calibri"/>
                <w:b w:val="0"/>
                <w:sz w:val="20"/>
              </w:rPr>
              <w:t>Transport emissions to blend point (existing methodology reused)</w:t>
            </w:r>
          </w:p>
        </w:tc>
        <w:tc>
          <w:tcPr>
            <w:tcW w:type="dxa" w:w="2880"/>
            <w:shd w:val="clear" w:color="auto" w:fill="DCE6F1"/>
          </w:tcPr>
          <w:p>
            <w:pPr>
              <w:spacing w:before="40" w:after="40"/>
            </w:pPr>
            <w:r>
              <w:rPr>
                <w:rFonts w:ascii="Calibri" w:hAnsi="Calibri"/>
                <w:b w:val="0"/>
                <w:sz w:val="20"/>
              </w:rPr>
              <w:t>Isometric-validated (no new work)</w:t>
            </w:r>
          </w:p>
        </w:tc>
      </w:tr>
      <w:tr>
        <w:tc>
          <w:tcPr>
            <w:tcW w:type="dxa" w:w="1008"/>
            <w:shd w:val="clear" w:color="auto" w:fill="FFFFFF"/>
          </w:tcPr>
          <w:p>
            <w:pPr>
              <w:spacing w:before="40" w:after="40"/>
            </w:pPr>
            <w:r>
              <w:rPr>
                <w:rFonts w:ascii="Calibri" w:hAnsi="Calibri"/>
                <w:b w:val="0"/>
                <w:sz w:val="20"/>
              </w:rPr>
              <w:t>10-11</w:t>
            </w:r>
          </w:p>
        </w:tc>
        <w:tc>
          <w:tcPr>
            <w:tcW w:type="dxa" w:w="5040"/>
            <w:shd w:val="clear" w:color="auto" w:fill="FFFFFF"/>
          </w:tcPr>
          <w:p>
            <w:pPr>
              <w:spacing w:before="40" w:after="40"/>
            </w:pPr>
            <w:r>
              <w:rPr>
                <w:rFonts w:ascii="Calibri" w:hAnsi="Calibri"/>
                <w:b w:val="0"/>
                <w:sz w:val="20"/>
              </w:rPr>
              <w:t>CI calculation + fossil fuel comparator selection</w:t>
            </w:r>
          </w:p>
        </w:tc>
        <w:tc>
          <w:tcPr>
            <w:tcW w:type="dxa" w:w="2880"/>
            <w:shd w:val="clear" w:color="auto" w:fill="FFFFFF"/>
          </w:tcPr>
          <w:p>
            <w:pPr>
              <w:spacing w:before="40" w:after="40"/>
            </w:pPr>
            <w:r>
              <w:rPr>
                <w:rFonts w:ascii="Calibri" w:hAnsi="Calibri"/>
                <w:b w:val="0"/>
                <w:sz w:val="20"/>
              </w:rPr>
              <w:t>Custom (bounded; most novel content is in Steps 6-8)</w:t>
            </w:r>
          </w:p>
        </w:tc>
      </w:tr>
      <w:tr>
        <w:tc>
          <w:tcPr>
            <w:tcW w:type="dxa" w:w="1008"/>
            <w:shd w:val="clear" w:color="auto" w:fill="DCE6F1"/>
          </w:tcPr>
          <w:p>
            <w:pPr>
              <w:spacing w:before="40" w:after="40"/>
            </w:pPr>
            <w:r>
              <w:rPr>
                <w:rFonts w:ascii="Calibri" w:hAnsi="Calibri"/>
                <w:b w:val="0"/>
                <w:sz w:val="20"/>
              </w:rPr>
              <w:t>12</w:t>
            </w:r>
          </w:p>
        </w:tc>
        <w:tc>
          <w:tcPr>
            <w:tcW w:type="dxa" w:w="5040"/>
            <w:shd w:val="clear" w:color="auto" w:fill="DCE6F1"/>
          </w:tcPr>
          <w:p>
            <w:pPr>
              <w:spacing w:before="40" w:after="40"/>
            </w:pPr>
            <w:r>
              <w:rPr>
                <w:rFonts w:ascii="Calibri" w:hAnsi="Calibri"/>
                <w:b w:val="0"/>
                <w:sz w:val="20"/>
              </w:rPr>
              <w:t>Validation by 123C, customers, Charm, and refinery partner before launch;</w:t>
              <w:br/>
              <w:t>verification scope and frequency TBD</w:t>
            </w:r>
          </w:p>
        </w:tc>
        <w:tc>
          <w:tcPr>
            <w:tcW w:type="dxa" w:w="2880"/>
            <w:shd w:val="clear" w:color="auto" w:fill="DCE6F1"/>
          </w:tcPr>
          <w:p>
            <w:pPr>
              <w:spacing w:before="40" w:after="40"/>
            </w:pPr>
            <w:r>
              <w:rPr>
                <w:rFonts w:ascii="Calibri" w:hAnsi="Calibri"/>
                <w:b w:val="0"/>
                <w:sz w:val="20"/>
              </w:rPr>
              <w:t>All stakeholders</w:t>
            </w:r>
          </w:p>
        </w:tc>
      </w:tr>
      <w:tr>
        <w:tc>
          <w:tcPr>
            <w:tcW w:type="dxa" w:w="1008"/>
            <w:shd w:val="clear" w:color="auto" w:fill="FFFFFF"/>
          </w:tcPr>
          <w:p>
            <w:pPr>
              <w:spacing w:before="40" w:after="40"/>
            </w:pPr>
            <w:r>
              <w:rPr>
                <w:rFonts w:ascii="Calibri" w:hAnsi="Calibri"/>
                <w:b w:val="0"/>
                <w:sz w:val="20"/>
              </w:rPr>
              <w:t>13-14</w:t>
            </w:r>
          </w:p>
        </w:tc>
        <w:tc>
          <w:tcPr>
            <w:tcW w:type="dxa" w:w="5040"/>
            <w:shd w:val="clear" w:color="auto" w:fill="FFFFFF"/>
          </w:tcPr>
          <w:p>
            <w:pPr>
              <w:spacing w:before="40" w:after="40"/>
            </w:pPr>
            <w:r>
              <w:rPr>
                <w:rFonts w:ascii="Calibri" w:hAnsi="Calibri"/>
                <w:b w:val="0"/>
                <w:sz w:val="20"/>
              </w:rPr>
              <w:t>Credit issuance, management, retirement, double-counting prevention</w:t>
            </w:r>
          </w:p>
        </w:tc>
        <w:tc>
          <w:tcPr>
            <w:tcW w:type="dxa" w:w="2880"/>
            <w:shd w:val="clear" w:color="auto" w:fill="FFFFFF"/>
          </w:tcPr>
          <w:p>
            <w:pPr>
              <w:spacing w:before="40" w:after="40"/>
            </w:pPr>
            <w:r>
              <w:rPr>
                <w:rFonts w:ascii="Calibri" w:hAnsi="Calibri"/>
                <w:b w:val="0"/>
                <w:sz w:val="20"/>
              </w:rPr>
              <w:t>123 Carbon</w:t>
            </w:r>
          </w:p>
        </w:tc>
      </w:tr>
    </w:tbl>
    <w:p>
      <w:pPr>
        <w:pStyle w:val="Heading1"/>
      </w:pPr>
      <w:r>
        <w:t>5. The Alternative: Full Self-Certification (SCE)</w:t>
      </w:r>
    </w:p>
    <w:p>
      <w:pPr>
        <w:spacing w:after="120"/>
      </w:pPr>
      <w:r>
        <w:rPr>
          <w:rFonts w:ascii="Calibri" w:hAnsi="Calibri"/>
          <w:sz w:val="22"/>
        </w:rPr>
        <w:t>If Charm does not pursue the SFC MBM framework, the remaining option is full self-certification: Charm internally develops the methodology and manages the registry without operating under SFC MBM or using 123 Carbon.</w:t>
      </w:r>
    </w:p>
    <w:p>
      <w:pPr>
        <w:pStyle w:val="ListBullet"/>
      </w:pPr>
      <w:r>
        <w:rPr>
          <w:rFonts w:ascii="Calibri" w:hAnsi="Calibri"/>
          <w:b/>
          <w:sz w:val="22"/>
        </w:rPr>
        <w:t xml:space="preserve">Pros: </w:t>
      </w:r>
      <w:r>
        <w:rPr>
          <w:rFonts w:ascii="Calibri" w:hAnsi="Calibri"/>
          <w:sz w:val="22"/>
        </w:rPr>
        <w:t>Lowest operational lift. Quickest to execute. Plays well with existing CDR MRV. Upstream methodology is already Isometric-validated.</w:t>
      </w:r>
    </w:p>
    <w:p>
      <w:pPr>
        <w:pStyle w:val="ListBullet"/>
      </w:pPr>
      <w:r>
        <w:rPr>
          <w:rFonts w:ascii="Calibri" w:hAnsi="Calibri"/>
          <w:b/>
          <w:sz w:val="22"/>
        </w:rPr>
        <w:t xml:space="preserve">Cons: </w:t>
      </w:r>
      <w:r>
        <w:rPr>
          <w:rFonts w:ascii="Calibri" w:hAnsi="Calibri"/>
          <w:sz w:val="22"/>
        </w:rPr>
        <w:t>No external checks on Charm's own methodology or calculations — straightforward target for conflict-of-interest challenges. No registry-level double-counting protection. Not tied to SFC MBM, so credit acceptance by buyers operating within that framework is uncertain. Weakest market integrity signal of any option.</w:t>
      </w:r>
    </w:p>
    <w:p>
      <w:pPr>
        <w:pStyle w:val="ListBullet"/>
      </w:pPr>
      <w:r>
        <w:rPr>
          <w:rFonts w:ascii="Calibri" w:hAnsi="Calibri"/>
          <w:b/>
          <w:sz w:val="22"/>
        </w:rPr>
        <w:t xml:space="preserve">Assessment: </w:t>
      </w:r>
      <w:r>
        <w:rPr>
          <w:rFonts w:ascii="Calibri" w:hAnsi="Calibri"/>
          <w:sz w:val="22"/>
        </w:rPr>
        <w:t>This path is viable mechanically but is least likely to satisfy customer requirements and least likely to hold up under scrutiny. Not the preferred option.</w:t>
      </w:r>
    </w:p>
    <w:p>
      <w:pPr>
        <w:pStyle w:val="Heading1"/>
      </w:pPr>
      <w:r>
        <w:t>6. System-Level Risks</w:t>
      </w:r>
    </w:p>
    <w:p>
      <w:pPr>
        <w:pStyle w:val="ListBullet"/>
      </w:pPr>
      <w:r>
        <w:rPr>
          <w:rFonts w:ascii="Calibri" w:hAnsi="Calibri"/>
          <w:b/>
          <w:sz w:val="22"/>
        </w:rPr>
        <w:t xml:space="preserve">No known precedent for dual CDR + SAF accounting: </w:t>
      </w:r>
      <w:r>
        <w:rPr>
          <w:rFonts w:ascii="Calibri" w:hAnsi="Calibri"/>
          <w:sz w:val="22"/>
        </w:rPr>
        <w:t>No documented cases of a single production process running parallel CDR and biofuel GHG accounting. Specific issues will surface during methodology development that cannot be anticipated now.</w:t>
      </w:r>
    </w:p>
    <w:p>
      <w:pPr>
        <w:pStyle w:val="ListBullet"/>
      </w:pPr>
      <w:r>
        <w:rPr>
          <w:rFonts w:ascii="Calibri" w:hAnsi="Calibri"/>
          <w:b/>
          <w:sz w:val="22"/>
        </w:rPr>
        <w:t xml:space="preserve">Co-product substitution uncertainty: </w:t>
      </w:r>
      <w:r>
        <w:rPr>
          <w:rFonts w:ascii="Calibri" w:hAnsi="Calibri"/>
          <w:sz w:val="22"/>
        </w:rPr>
        <w:t>In CDR accounting, biochar co-product substitution is credited against the bio-oil CI. Whether this accounting carries over to the biofuel CI context is not established. If it cannot be applied, the bio-oil CI rises.</w:t>
      </w:r>
    </w:p>
    <w:p>
      <w:pPr>
        <w:pStyle w:val="ListBullet"/>
      </w:pPr>
      <w:r>
        <w:rPr>
          <w:rFonts w:ascii="Calibri" w:hAnsi="Calibri"/>
          <w:b/>
          <w:sz w:val="22"/>
        </w:rPr>
        <w:t xml:space="preserve">Customer requirement conflict: </w:t>
      </w:r>
      <w:r>
        <w:rPr>
          <w:rFonts w:ascii="Calibri" w:hAnsi="Calibri"/>
          <w:sz w:val="22"/>
        </w:rPr>
        <w:t>Different key customers may have incompatible non-quantification requirements — different preferred methodology developers, different community benefit standards, different audit requirements. If two major buyers disagree, Charm must have an internal framework for deciding whose requirements take priority. This prioritization has not been established and needs to be resolved internally before customer outreach begins.</w:t>
      </w:r>
    </w:p>
    <w:p>
      <w:pPr>
        <w:pStyle w:val="ListBullet"/>
      </w:pPr>
      <w:r>
        <w:rPr>
          <w:rFonts w:ascii="Calibri" w:hAnsi="Calibri"/>
          <w:b/>
          <w:sz w:val="22"/>
        </w:rPr>
        <w:t xml:space="preserve">Methodology acceptance risk: </w:t>
      </w:r>
      <w:r>
        <w:rPr>
          <w:rFonts w:ascii="Calibri" w:hAnsi="Calibri"/>
          <w:sz w:val="22"/>
        </w:rPr>
        <w:t>A non-certified methodology carries no pre-established market credibility beyond what the third-party developer's brand provides. Stakeholder validation (123C, customers, Charm, refinery) reduces but does not eliminate the risk of a challenge after launch.</w:t>
      </w:r>
    </w:p>
    <w:p>
      <w:pPr>
        <w:pStyle w:val="Heading1"/>
      </w:pPr>
      <w:r>
        <w:t>7. Next Steps</w:t>
      </w:r>
    </w:p>
    <w:p>
      <w:pPr>
        <w:pStyle w:val="ListNumber"/>
      </w:pPr>
      <w:r>
        <w:rPr>
          <w:rFonts w:ascii="Calibri" w:hAnsi="Calibri"/>
          <w:sz w:val="22"/>
        </w:rPr>
        <w:t>Clarify SFC MBM non-certified track criteria with 123C and/or SFC. This is the prerequisite for all other work.</w:t>
      </w:r>
    </w:p>
    <w:p>
      <w:pPr>
        <w:pStyle w:val="ListNumber"/>
      </w:pPr>
      <w:r>
        <w:rPr>
          <w:rFonts w:ascii="Calibri" w:hAnsi="Calibri"/>
          <w:sz w:val="22"/>
        </w:rPr>
        <w:t>Internal alignment on customer conflict prioritization: establish which customer relationships take priority if buyer requirements diverge.</w:t>
      </w:r>
    </w:p>
    <w:p>
      <w:pPr>
        <w:pStyle w:val="ListNumber"/>
      </w:pPr>
      <w:r>
        <w:rPr>
          <w:rFonts w:ascii="Calibri" w:hAnsi="Calibri"/>
          <w:sz w:val="22"/>
        </w:rPr>
        <w:t>Customer outreach to Amazon, DHL, and other key buyers: define non-quantification requirements and identify preferred third-party methodology developer.</w:t>
      </w:r>
    </w:p>
    <w:p>
      <w:pPr>
        <w:pStyle w:val="ListNumber"/>
      </w:pPr>
      <w:r>
        <w:rPr>
          <w:rFonts w:ascii="Calibri" w:hAnsi="Calibri"/>
          <w:sz w:val="22"/>
        </w:rPr>
        <w:t>Select third-party methodology partner based on customer input.</w:t>
      </w:r>
    </w:p>
    <w:p>
      <w:pPr>
        <w:pStyle w:val="ListNumber"/>
      </w:pPr>
      <w:r>
        <w:rPr>
          <w:rFonts w:ascii="Calibri" w:hAnsi="Calibri"/>
          <w:sz w:val="22"/>
        </w:rPr>
        <w:t>Develop methodology in collaboration with selected partner to satisfy SFC MBM criteria, customer requirements, and Charm/refinery operability.</w:t>
      </w:r>
    </w:p>
    <w:p>
      <w:pPr>
        <w:pStyle w:val="ListNumber"/>
      </w:pPr>
      <w:r>
        <w:rPr>
          <w:rFonts w:ascii="Calibri" w:hAnsi="Calibri"/>
          <w:sz w:val="22"/>
        </w:rPr>
        <w:t>All-stakeholder validation before launch: 123C, customer(s), Charm, and refinery.</w:t>
      </w:r>
    </w:p>
    <w:p>
      <w:pPr>
        <w:pStyle w:val="ListNumber"/>
      </w:pPr>
      <w:r>
        <w:rPr>
          <w:rFonts w:ascii="Calibri" w:hAnsi="Calibri"/>
          <w:sz w:val="22"/>
        </w:rPr>
        <w:t>(Parallel) Jeroen to report back on ISO 14083 interaction, methodology developer accreditation requirements, and Isometric role in biofuel CI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