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0F17" w14:textId="77777777" w:rsidR="007129A0" w:rsidRDefault="00950110">
      <w:pPr>
        <w:pStyle w:val="Title"/>
      </w:pPr>
      <w:r>
        <w:t>Biochar-for-Coal Substitution: Implementation Brief</w:t>
      </w:r>
    </w:p>
    <w:p w14:paraId="604EB933" w14:textId="77777777" w:rsidR="007129A0" w:rsidRDefault="00950110">
      <w:pPr>
        <w:pStyle w:val="Subtitle"/>
      </w:pPr>
      <w:r>
        <w:t>Path forward following Isometric alignment · Internal · April 28, 2026</w:t>
      </w:r>
    </w:p>
    <w:p w14:paraId="4723BD2F" w14:textId="77777777" w:rsidR="007129A0" w:rsidRDefault="00950110">
      <w:pPr>
        <w:spacing w:after="120"/>
      </w:pPr>
      <w:r>
        <w:rPr>
          <w:b/>
          <w:bCs/>
        </w:rPr>
        <w:t xml:space="preserve">Author: </w:t>
      </w:r>
      <w:r>
        <w:t xml:space="preserve">Max Lavine   </w:t>
      </w:r>
      <w:r>
        <w:rPr>
          <w:b/>
          <w:bCs/>
        </w:rPr>
        <w:t xml:space="preserve">Audience: </w:t>
      </w:r>
      <w:r>
        <w:t xml:space="preserve">Materials/Commercial, Operations   </w:t>
      </w:r>
      <w:r>
        <w:rPr>
          <w:b/>
          <w:bCs/>
        </w:rPr>
        <w:t xml:space="preserve">Status: </w:t>
      </w:r>
      <w:r>
        <w:t>Aligned with Isometric (March 31, 2026); ready for cross-functional kickoff</w:t>
      </w:r>
    </w:p>
    <w:p w14:paraId="411D7DE1" w14:textId="77777777" w:rsidR="007129A0" w:rsidRDefault="00950110">
      <w:pPr>
        <w:pStyle w:val="Heading1"/>
      </w:pPr>
      <w:r>
        <w:t>Purpose</w:t>
      </w:r>
    </w:p>
    <w:p w14:paraId="2372F75C" w14:textId="77777777" w:rsidR="007129A0" w:rsidRDefault="00950110">
      <w:pPr>
        <w:spacing w:after="120"/>
      </w:pPr>
      <w:r>
        <w:t>After roughly four months of negotiation, Charm and Isometric have aligned on the implementation framework that allows us to use biochar as a coal substitute in a cement kiln and apply the resulting avoided emissions to bring down the carbon intensity (CI) of the co-produced bio-oil. This brief unblocks cross-functional execution by stating where we landed, what each team owns from here, and what supporting documentation has been drafted to operationalize the framework.</w:t>
      </w:r>
    </w:p>
    <w:p w14:paraId="0C883700" w14:textId="77777777" w:rsidR="007129A0" w:rsidRDefault="00950110">
      <w:pPr>
        <w:spacing w:after="120"/>
      </w:pPr>
      <w:r>
        <w:t xml:space="preserve">Three companion documents accompany this brief: </w:t>
      </w:r>
      <w:r>
        <w:rPr>
          <w:b/>
          <w:bCs/>
        </w:rPr>
        <w:t xml:space="preserve">(1) </w:t>
      </w:r>
      <w:r>
        <w:t xml:space="preserve">an updated kiln-side affidavit incorporating Isometric's evidence asks; </w:t>
      </w:r>
      <w:r>
        <w:rPr>
          <w:b/>
          <w:bCs/>
        </w:rPr>
        <w:t xml:space="preserve">(2) </w:t>
      </w:r>
      <w:r>
        <w:t xml:space="preserve">a commercial + operations playbook covering offtake terms, batch tracking, and evidence collection; and </w:t>
      </w:r>
      <w:r>
        <w:rPr>
          <w:b/>
          <w:bCs/>
        </w:rPr>
        <w:t xml:space="preserve">(3) </w:t>
      </w:r>
      <w:r>
        <w:t>a plain-language carbon accounting explainer so the team understands what predict-and-adjust means in practice. Links at the end of this document.</w:t>
      </w:r>
    </w:p>
    <w:p w14:paraId="60B2C5C7" w14:textId="77777777" w:rsidR="007129A0" w:rsidRDefault="00950110">
      <w:pPr>
        <w:pStyle w:val="Heading1"/>
      </w:pPr>
      <w:r>
        <w:t>Executive summary</w:t>
      </w:r>
    </w:p>
    <w:p w14:paraId="455A47C6" w14:textId="77777777" w:rsidR="007129A0" w:rsidRDefault="00950110">
      <w:pPr>
        <w:pStyle w:val="ListParagraph"/>
        <w:numPr>
          <w:ilvl w:val="0"/>
          <w:numId w:val="2"/>
        </w:numPr>
        <w:spacing w:after="80"/>
      </w:pPr>
      <w:r>
        <w:rPr>
          <w:b/>
          <w:bCs/>
        </w:rPr>
        <w:t xml:space="preserve">Framework: predict-and-adjust. </w:t>
      </w:r>
      <w:r>
        <w:t xml:space="preserve">At each Production Period (PP) close — when the PP bio-oil and biochar CIs are calculated — we declare the most likely fate of every biochar batch (CDR or cement-kiln substitution) and apply the matching allocation method (carbon mass balance for CDR; substitution method for kiln). The resulting CI travels with the bio-oil through downstream handling and is realized at injection in subsequent reporting periods (RPs). If actuals diverge from the declaration, a corrective mechanism recomputes the PP CI under </w:t>
      </w:r>
      <w:r>
        <w:t>the correct procedure and books the delta against subsequent bio-oil RPs. No banking.</w:t>
      </w:r>
    </w:p>
    <w:p w14:paraId="338040A9" w14:textId="77777777" w:rsidR="007129A0" w:rsidRDefault="00950110">
      <w:pPr>
        <w:pStyle w:val="ListParagraph"/>
        <w:numPr>
          <w:ilvl w:val="0"/>
          <w:numId w:val="2"/>
        </w:numPr>
        <w:spacing w:after="80"/>
      </w:pPr>
      <w:r>
        <w:rPr>
          <w:b/>
          <w:bCs/>
        </w:rPr>
        <w:t xml:space="preserve">Why this is good: </w:t>
      </w:r>
      <w:r>
        <w:t>Substitution is expected to yield more bio-oil credits than carbon mass balance, and the evidence package we already plan to provide should support a 0% uncertainty discount (versus the 50% protocol default). That preserves the full avoided-emissions benefit.</w:t>
      </w:r>
    </w:p>
    <w:p w14:paraId="5A3D630B" w14:textId="77777777" w:rsidR="007129A0" w:rsidRDefault="00950110">
      <w:pPr>
        <w:pStyle w:val="ListParagraph"/>
        <w:numPr>
          <w:ilvl w:val="0"/>
          <w:numId w:val="2"/>
        </w:numPr>
        <w:spacing w:after="80"/>
      </w:pPr>
      <w:r>
        <w:rPr>
          <w:b/>
          <w:bCs/>
        </w:rPr>
        <w:t xml:space="preserve">Critical path is on the materials/commercial side. </w:t>
      </w:r>
      <w:r>
        <w:t>Updating the kiln affidavit and the corresponding offtake terms is the single most important blocker. The affidavit needs four content updates beyond v1 (Jan 2026): explicit kiln-use commitment, EC4-verbatim double-counting language, alternative-fuel (coal) counterfactual attestation, and notification triggers if char fate changes or kiln operations pause.</w:t>
      </w:r>
    </w:p>
    <w:p w14:paraId="000D7A10" w14:textId="77777777" w:rsidR="007129A0" w:rsidRDefault="00950110">
      <w:pPr>
        <w:pStyle w:val="ListParagraph"/>
        <w:numPr>
          <w:ilvl w:val="0"/>
          <w:numId w:val="2"/>
        </w:numPr>
        <w:spacing w:after="80"/>
      </w:pPr>
      <w:r>
        <w:rPr>
          <w:b/>
          <w:bCs/>
        </w:rPr>
        <w:t xml:space="preserve">Operations </w:t>
      </w:r>
      <w:proofErr w:type="gramStart"/>
      <w:r>
        <w:rPr>
          <w:b/>
          <w:bCs/>
        </w:rPr>
        <w:t>gets</w:t>
      </w:r>
      <w:proofErr w:type="gramEnd"/>
      <w:r>
        <w:rPr>
          <w:b/>
          <w:bCs/>
        </w:rPr>
        <w:t xml:space="preserve"> a small but binding extension to existing batch tracking. </w:t>
      </w:r>
      <w:r>
        <w:t>Our supersack UID system already covers physical traceability and already links each UID to its Production Period. What we need to add per UID is the declared fate at PP close, the allocation procedure that fate triggered for the PP CI, the 12-month confirmation window (opening at PP close), and the confirmed fate once known. Any UID lapsing the window without confirmed fate automatically triggers a true-up against the next bio-oil RP.</w:t>
      </w:r>
    </w:p>
    <w:p w14:paraId="20105BDB" w14:textId="77777777" w:rsidR="007129A0" w:rsidRDefault="00950110">
      <w:pPr>
        <w:pStyle w:val="ListParagraph"/>
        <w:numPr>
          <w:ilvl w:val="0"/>
          <w:numId w:val="2"/>
        </w:numPr>
        <w:spacing w:after="80"/>
      </w:pPr>
      <w:r>
        <w:rPr>
          <w:b/>
          <w:bCs/>
        </w:rPr>
        <w:t xml:space="preserve">Pilot data is the bridge between PP close and kiln-confirmed actuals. </w:t>
      </w:r>
      <w:r>
        <w:t xml:space="preserve">Procedure 3 at PP close needs kiln-side substitution evidence (replacement ratio, fuel-switching, combustion confirmation) — but the in-scope PP's biochar hasn't been combusted yet </w:t>
      </w:r>
      <w:proofErr w:type="gramStart"/>
      <w:r>
        <w:t>at the moment</w:t>
      </w:r>
      <w:proofErr w:type="gramEnd"/>
      <w:r>
        <w:t xml:space="preserve"> the bio-oil CI is computed. Sequencing: (1) run the pilot and capture kiln-side measurements; (2) use </w:t>
      </w:r>
      <w:r>
        <w:lastRenderedPageBreak/>
        <w:t>those measurements to ground Procedure 3 at every subsequent PP close, while that PP's specific biochar is still in transit or storage; (3) true up against actual kiln data once the PP's biochar is combusted. The pi</w:t>
      </w:r>
      <w:r>
        <w:t>lot reference is valid only while pilot char and PP char share equivalent composition and were produced under the same process parameters.</w:t>
      </w:r>
    </w:p>
    <w:p w14:paraId="2EA0A233" w14:textId="77777777" w:rsidR="007129A0" w:rsidRDefault="00950110">
      <w:pPr>
        <w:pStyle w:val="Heading1"/>
      </w:pPr>
      <w:r>
        <w:t>What changed during the negotiation</w:t>
      </w:r>
    </w:p>
    <w:p w14:paraId="637B4422" w14:textId="77777777" w:rsidR="007129A0" w:rsidRDefault="00950110">
      <w:pPr>
        <w:spacing w:after="120"/>
      </w:pPr>
      <w:r>
        <w:t>Charm's original proposal ("banking" avoided emissions for application to future RPs) was declined on principle. Isometric's reasoning is set out in their Mar 2 note and turns on four points: temporal decoupling within the substitution method's defined assessment, impermissible stacking of allocation methods, the residual-emissions cap as a structural feature that disincentivizes deferred decarbonization, and reduced transparency to credit buyers. The 12-month-expiry guardrail Charm proposed was acknowledge</w:t>
      </w:r>
      <w:r>
        <w:t>d but did not change the answer.</w:t>
      </w:r>
    </w:p>
    <w:p w14:paraId="0AF1C2BE" w14:textId="77777777" w:rsidR="007129A0" w:rsidRDefault="00950110">
      <w:pPr>
        <w:spacing w:after="120"/>
      </w:pPr>
      <w:r>
        <w:t>In its place, Isometric offered the predict-and-adjust framework set out in their Feb 12 proposed solution. After two further iteration rounds in March, alignment closed on Mar 31 with the scenario matrix as the single source of truth on where corrections flow when actuals differ from declarations. The framework is consistent with how Procedure 4 (carbon mass balance) and Procedure 3 (substitution method) sit relative to one another in Section 6.1 of the GHG Accounting Module, and Isometric is updating that</w:t>
      </w:r>
      <w:r>
        <w:t xml:space="preserve"> section to formalize provisions for arrangements like ours. Until the module update is published, the framework is in force as an exemption note under existing module wording.</w:t>
      </w:r>
    </w:p>
    <w:p w14:paraId="77C8A632" w14:textId="77777777" w:rsidR="007129A0" w:rsidRDefault="00950110">
      <w:pPr>
        <w:pStyle w:val="Heading1"/>
      </w:pPr>
      <w:r>
        <w:t>The framework, in four parts</w:t>
      </w:r>
    </w:p>
    <w:p w14:paraId="679CCEB0" w14:textId="77777777" w:rsidR="007129A0" w:rsidRDefault="00950110">
      <w:pPr>
        <w:pStyle w:val="Heading2"/>
      </w:pPr>
      <w:r>
        <w:t>1. Upfront declaration at Production Period close</w:t>
      </w:r>
    </w:p>
    <w:p w14:paraId="05B21FD1" w14:textId="46C8EC54" w:rsidR="007129A0" w:rsidRDefault="00950110">
      <w:pPr>
        <w:spacing w:after="120"/>
      </w:pPr>
      <w:r>
        <w:t>Charm calculates a unique cradle-to-gate CI for bio-oil and biochar from each Production Period</w:t>
      </w:r>
      <w:r w:rsidR="008F618D">
        <w:t xml:space="preserve">. </w:t>
      </w:r>
      <w:r>
        <w:t>Total PP emissions are allocated between the two co-products, and that CI travels with each unit of product through transport, processing, and injection. The CI is finally realized — netted against removals — when the bio-oil is injected in a subsequent reporting period.</w:t>
      </w:r>
    </w:p>
    <w:p w14:paraId="1D7B3B4B" w14:textId="77777777" w:rsidR="007129A0" w:rsidRDefault="00950110">
      <w:pPr>
        <w:spacing w:after="120"/>
      </w:pPr>
      <w:r>
        <w:t>At PP close, when the CIs are computed, we declare for every biochar UID from that PP which pathway it is most likely to follow:</w:t>
      </w:r>
    </w:p>
    <w:p w14:paraId="1B9E5FB9" w14:textId="096C89E5" w:rsidR="007129A0" w:rsidRDefault="00950110">
      <w:pPr>
        <w:pStyle w:val="ListParagraph"/>
        <w:numPr>
          <w:ilvl w:val="0"/>
          <w:numId w:val="2"/>
        </w:numPr>
        <w:spacing w:after="80"/>
      </w:pPr>
      <w:r>
        <w:rPr>
          <w:b/>
          <w:bCs/>
        </w:rPr>
        <w:t xml:space="preserve">Pathway A — CDR. </w:t>
      </w:r>
      <w:r>
        <w:t>Apply carbon mass balance (Procedure 4). PP emissions are split between bio-oil and biochar by carbon mass; biochar is later credited for CDR carrying its allocated share, and bio-oil's CI carries the complementary share.</w:t>
      </w:r>
      <w:r w:rsidR="008F618D">
        <w:t xml:space="preserve"> We already do this.</w:t>
      </w:r>
    </w:p>
    <w:p w14:paraId="25CB0DE1" w14:textId="676C4D30" w:rsidR="007129A0" w:rsidRDefault="00950110">
      <w:pPr>
        <w:pStyle w:val="ListParagraph"/>
        <w:numPr>
          <w:ilvl w:val="0"/>
          <w:numId w:val="2"/>
        </w:numPr>
        <w:spacing w:after="80"/>
      </w:pPr>
      <w:r>
        <w:rPr>
          <w:b/>
          <w:bCs/>
        </w:rPr>
        <w:t xml:space="preserve">Pathway B — Cement-kiln substitution. </w:t>
      </w:r>
      <w:r>
        <w:t>Apply the substitution method (Procedure 3). The avoided coal emissions are subtracted from the PP's emissions before allocation, materially reducing the bio-oil CI. Biochar receives no separate CDR credit on this pathway.</w:t>
      </w:r>
      <w:r w:rsidR="008F618D">
        <w:t xml:space="preserve"> This is done using Pilot data for an initial estimate, which is then trued up against actuals from the kiln once those are available. Discrepancy resolution is covered in Part 4 of this section.</w:t>
      </w:r>
    </w:p>
    <w:p w14:paraId="79E04A20" w14:textId="77777777" w:rsidR="007129A0" w:rsidRDefault="00950110">
      <w:pPr>
        <w:spacing w:after="120"/>
      </w:pPr>
      <w:r>
        <w:t>Allocation is per-UID, by mass — biochar from a single PP can split across the two pathways at the supersack level. The 70/30 illustrative split in the Isometric materials is a math example, not the operational unit. Each UID is committed to one pathway at the time the PP CI is locked.</w:t>
      </w:r>
    </w:p>
    <w:p w14:paraId="2C88A237" w14:textId="77777777" w:rsidR="007129A0" w:rsidRDefault="00950110">
      <w:pPr>
        <w:pStyle w:val="Heading2"/>
      </w:pPr>
      <w:r>
        <w:t>2. Evidence sufficient for a 0% uncertainty discount</w:t>
      </w:r>
    </w:p>
    <w:p w14:paraId="10C3E3BC" w14:textId="77777777" w:rsidR="007129A0" w:rsidRDefault="00950110">
      <w:pPr>
        <w:spacing w:after="120"/>
      </w:pPr>
      <w:r>
        <w:lastRenderedPageBreak/>
        <w:t>The default protocol uncertainty discount on substituted emissions is 50%. We can drive it to 0% with a complete evidence package, which Isometric has confirmed in writing (Emma Marsland, Feb 23). The package has four core components:</w:t>
      </w:r>
    </w:p>
    <w:p w14:paraId="46046F46" w14:textId="77777777" w:rsidR="007129A0" w:rsidRDefault="00950110">
      <w:pPr>
        <w:pStyle w:val="ListParagraph"/>
        <w:numPr>
          <w:ilvl w:val="0"/>
          <w:numId w:val="3"/>
        </w:numPr>
        <w:spacing w:after="80"/>
      </w:pPr>
      <w:r>
        <w:rPr>
          <w:b/>
          <w:bCs/>
        </w:rPr>
        <w:t xml:space="preserve">Affidavit </w:t>
      </w:r>
      <w:r>
        <w:t>from the kiln operator covering counterfactual fuel (coal), replacement ratio, sole ownership of avoided emissions, no double counting, no change to the kiln operator's product claims, and notification triggers.</w:t>
      </w:r>
    </w:p>
    <w:p w14:paraId="332DB150" w14:textId="77777777" w:rsidR="007129A0" w:rsidRDefault="00950110">
      <w:pPr>
        <w:pStyle w:val="ListParagraph"/>
        <w:numPr>
          <w:ilvl w:val="0"/>
          <w:numId w:val="3"/>
        </w:numPr>
        <w:spacing w:after="80"/>
      </w:pPr>
      <w:r>
        <w:rPr>
          <w:b/>
          <w:bCs/>
        </w:rPr>
        <w:t xml:space="preserve">Verifiable mass measurement </w:t>
      </w:r>
      <w:r>
        <w:t xml:space="preserve">of biochar </w:t>
      </w:r>
      <w:proofErr w:type="gramStart"/>
      <w:r>
        <w:t>delivered,</w:t>
      </w:r>
      <w:proofErr w:type="gramEnd"/>
      <w:r>
        <w:t xml:space="preserve"> on calibrated scales — already in place through our existing supersack UID workflow.</w:t>
      </w:r>
    </w:p>
    <w:p w14:paraId="7AF81E94" w14:textId="7404DDA8" w:rsidR="007129A0" w:rsidRDefault="00950110">
      <w:pPr>
        <w:pStyle w:val="ListParagraph"/>
        <w:numPr>
          <w:ilvl w:val="0"/>
          <w:numId w:val="3"/>
        </w:numPr>
        <w:spacing w:after="80"/>
      </w:pPr>
      <w:r>
        <w:rPr>
          <w:b/>
          <w:bCs/>
        </w:rPr>
        <w:t xml:space="preserve">Defensible emission factor </w:t>
      </w:r>
      <w:r>
        <w:t xml:space="preserve">for the substituted coal — a representative EF (e.g., USEPA Emission Factor Hub or GREET) is acceptable per Isometric Mar 31, with an explanation of why a product-specific LCA or EPD was not available. </w:t>
      </w:r>
      <w:r w:rsidR="001A5ECF">
        <w:t xml:space="preserve">So, we should ask if the kiln has one and if they </w:t>
      </w:r>
      <w:proofErr w:type="gramStart"/>
      <w:r w:rsidR="001A5ECF">
        <w:t>don’t</w:t>
      </w:r>
      <w:proofErr w:type="gramEnd"/>
      <w:r w:rsidR="001A5ECF">
        <w:t xml:space="preserve"> we can use the EF.</w:t>
      </w:r>
    </w:p>
    <w:p w14:paraId="1BBA0FC6" w14:textId="09FC2D51" w:rsidR="007129A0" w:rsidRDefault="00950110">
      <w:pPr>
        <w:pStyle w:val="ListParagraph"/>
        <w:numPr>
          <w:ilvl w:val="0"/>
          <w:numId w:val="3"/>
        </w:numPr>
        <w:spacing w:after="80"/>
      </w:pPr>
      <w:r>
        <w:rPr>
          <w:b/>
          <w:bCs/>
        </w:rPr>
        <w:t xml:space="preserve">Pre- and post-intervention fuel-switching evidence </w:t>
      </w:r>
      <w:r>
        <w:t>from the kiln</w:t>
      </w:r>
      <w:r w:rsidR="001A5ECF">
        <w:t xml:space="preserve">. </w:t>
      </w:r>
      <w:r w:rsidR="001A5ECF">
        <w:t>Demonstrates that biochar consumption substituted coal consumption over a representative period. This is the empirical anchor — it is what makes the substitution claim verifiable rather than estimated.</w:t>
      </w:r>
      <w:r w:rsidR="001A5ECF">
        <w:t xml:space="preserve"> </w:t>
      </w:r>
    </w:p>
    <w:p w14:paraId="4BFBEA15" w14:textId="77777777" w:rsidR="007129A0" w:rsidRDefault="00950110">
      <w:pPr>
        <w:pStyle w:val="Heading2"/>
      </w:pPr>
      <w:r>
        <w:t>3. Batch tracking with a 12-month confirmation window</w:t>
      </w:r>
    </w:p>
    <w:p w14:paraId="1A500897" w14:textId="63E4CD9B" w:rsidR="007129A0" w:rsidRPr="00DB4AA9" w:rsidRDefault="00950110">
      <w:pPr>
        <w:spacing w:after="120"/>
      </w:pPr>
      <w:r>
        <w:t>Our existing supersack UID system already does the heavy lifting on physical traceability — UID linked to its production period, scale-measured mass, shipped destination. The PP linkage exists at production time and does not need to be re-established. What we add per UID is a thin accounting layer: the declared fate at PP close, the allocation procedure that fate triggered for the PP CI, the dates that bound the 12-month confirmation window (opening at PP close), and the confirmed fate once known. Any UID t</w:t>
      </w:r>
      <w:r>
        <w:t>hat lapses the window without confirmed fate automatically triggers the corrective mechanism.</w:t>
      </w:r>
      <w:r w:rsidR="00DB4AA9">
        <w:t xml:space="preserve"> This is probably best managed by building out the function in </w:t>
      </w:r>
      <w:proofErr w:type="spellStart"/>
      <w:r w:rsidR="00DB4AA9">
        <w:t>Manufacturo</w:t>
      </w:r>
      <w:proofErr w:type="spellEnd"/>
      <w:r w:rsidR="00DB4AA9">
        <w:t xml:space="preserve">. It also means that </w:t>
      </w:r>
      <w:r w:rsidR="00DB4AA9">
        <w:rPr>
          <w:b/>
          <w:bCs/>
        </w:rPr>
        <w:t>we need to be bulletproof about weighing, logging, and tagging supersacks</w:t>
      </w:r>
      <w:r w:rsidR="00DB4AA9">
        <w:t>. That is the baseline operating expectation, but worth noting that this raises the stakes of failing to meet it.</w:t>
      </w:r>
    </w:p>
    <w:p w14:paraId="0B663DFC" w14:textId="77777777" w:rsidR="007129A0" w:rsidRDefault="00950110">
      <w:pPr>
        <w:pStyle w:val="Heading2"/>
      </w:pPr>
      <w:proofErr w:type="spellStart"/>
      <w:r>
        <w:t>4</w:t>
      </w:r>
      <w:proofErr w:type="spellEnd"/>
      <w:r>
        <w:t>. Corrective mechanism (true-up)</w:t>
      </w:r>
    </w:p>
    <w:p w14:paraId="6C6497B4" w14:textId="77777777" w:rsidR="007129A0" w:rsidRDefault="00950110">
      <w:pPr>
        <w:spacing w:after="120"/>
      </w:pPr>
      <w:r>
        <w:t xml:space="preserve">If actuals diverge from declarations, MRV recomputes the affected PP's bio-oil CI under the correct allocation procedure. The mass of bio-oil from that PP that has already been credited (across whatever historical RPs it landed in) is then used as an input to size a deficit: deficit = (recomputed CI − original CI) × (mass already credited). That deficit is booked as a site emission against the next bio-oil RP and rolls into RPs after that, if needed, until cleared. Bio-oil from the affected PP that has </w:t>
      </w:r>
      <w:r>
        <w:rPr>
          <w:i/>
          <w:iCs/>
        </w:rPr>
        <w:t xml:space="preserve">not </w:t>
      </w:r>
      <w:r>
        <w:t>yet been credited goes out at the recomputed CI directly when it is later injected.</w:t>
      </w:r>
    </w:p>
    <w:p w14:paraId="6A1CC634" w14:textId="77777777" w:rsidR="007129A0" w:rsidRDefault="00950110">
      <w:pPr>
        <w:spacing w:after="120"/>
      </w:pPr>
      <w:r>
        <w:rPr>
          <w:b/>
          <w:bCs/>
        </w:rPr>
        <w:t xml:space="preserve">Critically — past bio-oil RPs are never reopened. </w:t>
      </w:r>
      <w:r>
        <w:t xml:space="preserve">Already-issued credits stay issued. The corrective math always lands forward. This is the explicit design intent of predict-and-adjust: no change in biochar fate can ever reverse an already-issued bio-oil credit. The four scenarios and their treatments are captured in the </w:t>
      </w:r>
      <w:hyperlink r:id="rId5" w:anchor="gid=0" w:history="1">
        <w:r>
          <w:rPr>
            <w:rStyle w:val="Hyperlink"/>
            <w:color w:val="1F4E79"/>
          </w:rPr>
          <w:t>CDR/Sub Scenario Matrix</w:t>
        </w:r>
      </w:hyperlink>
      <w:r>
        <w:t xml:space="preserve"> and walked through in the accounting explainer companion document.</w:t>
      </w:r>
    </w:p>
    <w:p w14:paraId="6CECB5CB" w14:textId="77777777" w:rsidR="007129A0" w:rsidRDefault="00950110">
      <w:pPr>
        <w:pStyle w:val="Heading1"/>
      </w:pPr>
      <w:r>
        <w:t>What this requires from each team</w:t>
      </w:r>
    </w:p>
    <w:p w14:paraId="50072515" w14:textId="77777777" w:rsidR="007129A0" w:rsidRDefault="00950110">
      <w:pPr>
        <w:spacing w:after="120"/>
      </w:pPr>
      <w:r>
        <w:t>This rolls out across three workstreams. Materials/commercial and operations are the primary owners for the rollout; MRV/accounting carries the implementation through Certify but inherits its inputs from the first two.</w:t>
      </w:r>
    </w:p>
    <w:p w14:paraId="3D266587" w14:textId="77777777" w:rsidR="007129A0" w:rsidRDefault="007129A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7129A0" w14:paraId="473B94CB"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511D027" w14:textId="77777777" w:rsidR="007129A0" w:rsidRDefault="00950110">
            <w:r>
              <w:rPr>
                <w:b/>
                <w:bCs/>
              </w:rPr>
              <w:t>Team</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6B0F0F" w14:textId="77777777" w:rsidR="007129A0" w:rsidRDefault="00950110">
            <w:r>
              <w:rPr>
                <w:b/>
                <w:bCs/>
              </w:rPr>
              <w:t>What they own</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12D7058" w14:textId="77777777" w:rsidR="007129A0" w:rsidRDefault="00950110">
            <w:r>
              <w:rPr>
                <w:b/>
                <w:bCs/>
              </w:rPr>
              <w:t>Key artifact</w:t>
            </w:r>
          </w:p>
        </w:tc>
      </w:tr>
      <w:tr w:rsidR="007129A0" w14:paraId="76EEFAA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53C80BC2" w14:textId="77777777" w:rsidR="007129A0" w:rsidRDefault="00950110">
            <w:r>
              <w:rPr>
                <w:b/>
                <w:bCs/>
              </w:rPr>
              <w:t>Materials / Commercial</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77F8E1" w14:textId="77777777" w:rsidR="007129A0" w:rsidRDefault="00950110">
            <w:r>
              <w:t>Update kiln offtake terms to incorporate the v2 affidavit, lock in counterfactual fuel attestation, and bind the operator to notification triggers (char fate change, kiln pause/interruption, disposal). Confirm replacement ratio assumption and source of substituted-product EF.</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939CB0" w14:textId="77777777" w:rsidR="007129A0" w:rsidRDefault="00950110">
            <w:r>
              <w:t>Affidavit v2</w:t>
            </w:r>
          </w:p>
        </w:tc>
      </w:tr>
      <w:tr w:rsidR="007129A0" w14:paraId="43C2190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913D0E2" w14:textId="77777777" w:rsidR="007129A0" w:rsidRDefault="00950110">
            <w:r>
              <w:rPr>
                <w:b/>
                <w:bCs/>
              </w:rPr>
              <w:t>Operations</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148B1" w14:textId="1A109508" w:rsidR="007129A0" w:rsidRDefault="00950110">
            <w:r>
              <w:t>Extend the supersack UID workflow to capture (a) declared fate at PP close, (b) linkage to the affected Production Period, (c) confirmation-window dates (open = PP close), and (d) confirmed fate. Establish trigger on 12-month lapse. Maintain VVB-auditable trail</w:t>
            </w:r>
            <w:r w:rsidR="00DB4AA9">
              <w:t xml:space="preserve"> in all cases.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8E78EF" w14:textId="77777777" w:rsidR="007129A0" w:rsidRDefault="00950110">
            <w:r>
              <w:t>Playbook</w:t>
            </w:r>
          </w:p>
        </w:tc>
      </w:tr>
      <w:tr w:rsidR="007129A0" w14:paraId="4FAB605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08460D57" w14:textId="77777777" w:rsidR="007129A0" w:rsidRDefault="00950110">
            <w:r>
              <w:rPr>
                <w:b/>
                <w:bCs/>
              </w:rPr>
              <w:t>MRV / Accounting</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A6B25" w14:textId="77777777" w:rsidR="007129A0" w:rsidRDefault="00950110">
            <w:r>
              <w:t xml:space="preserve">Compute the per-PP bio-oil CI under the declared allocation method (Procedure 3 or 4) at each PP close. Implement the corrective math when actuals diverge — recompute the affected PP CI and book the delta against subsequent bio-oil RPs. Maintain the </w:t>
            </w:r>
            <w:proofErr w:type="spellStart"/>
            <w:r>
              <w:t>Decarbonisation</w:t>
            </w:r>
            <w:proofErr w:type="spellEnd"/>
            <w:r>
              <w:t xml:space="preserve"> Statement annually. Show net-negative removals before substitution applied (EC3) at each verification.</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D282F" w14:textId="77777777" w:rsidR="007129A0" w:rsidRDefault="00950110">
            <w:r>
              <w:t>Accounting explainer</w:t>
            </w:r>
          </w:p>
        </w:tc>
      </w:tr>
    </w:tbl>
    <w:p w14:paraId="7C9B4B68" w14:textId="77777777" w:rsidR="007129A0" w:rsidRDefault="007129A0">
      <w:pPr>
        <w:spacing w:after="120"/>
      </w:pPr>
    </w:p>
    <w:p w14:paraId="6CA8CD43" w14:textId="77777777" w:rsidR="007129A0" w:rsidRDefault="00950110">
      <w:pPr>
        <w:pStyle w:val="Heading2"/>
      </w:pPr>
      <w:r>
        <w:t>Materials / Commercial — detail</w:t>
      </w:r>
    </w:p>
    <w:p w14:paraId="22D7868B" w14:textId="77777777" w:rsidR="007129A0" w:rsidRDefault="00950110">
      <w:pPr>
        <w:spacing w:after="120"/>
      </w:pPr>
      <w:r>
        <w:t>The single hardest blocker on critical path is updating the kiln-side legal documents. The v2 affidavit folds in everything Isometric asked for in their Mar 31 round and is enclosed as a redline-ready draft. The four delta items relative to v1 (drafted Jan 2026) are:</w:t>
      </w:r>
    </w:p>
    <w:p w14:paraId="41513812" w14:textId="77777777" w:rsidR="007129A0" w:rsidRDefault="00950110">
      <w:pPr>
        <w:pStyle w:val="ListParagraph"/>
        <w:numPr>
          <w:ilvl w:val="0"/>
          <w:numId w:val="4"/>
        </w:numPr>
        <w:spacing w:after="80"/>
      </w:pPr>
      <w:r>
        <w:t>Explicit commitment that biochar will be used in the kiln (not merely intended for kiln use). Redundant with fuel records but Isometric specifically requested it on Mar 31 — no harm, agree to it.</w:t>
      </w:r>
    </w:p>
    <w:p w14:paraId="63E0DF82" w14:textId="77777777" w:rsidR="007129A0" w:rsidRDefault="00950110">
      <w:pPr>
        <w:pStyle w:val="ListParagraph"/>
        <w:numPr>
          <w:ilvl w:val="0"/>
          <w:numId w:val="4"/>
        </w:numPr>
        <w:spacing w:after="80"/>
      </w:pPr>
      <w:proofErr w:type="gramStart"/>
      <w:r>
        <w:t>Double-counting</w:t>
      </w:r>
      <w:proofErr w:type="gramEnd"/>
      <w:r>
        <w:t xml:space="preserve"> / EC4 language updated to mirror the GHG Accounting Module Section 6.1 Eligibility Criterion 4 verbatim. Avoids any room for interpretation at verification.</w:t>
      </w:r>
    </w:p>
    <w:p w14:paraId="44EB5751" w14:textId="77777777" w:rsidR="007129A0" w:rsidRDefault="00950110">
      <w:pPr>
        <w:pStyle w:val="ListParagraph"/>
        <w:numPr>
          <w:ilvl w:val="0"/>
          <w:numId w:val="4"/>
        </w:numPr>
        <w:spacing w:after="80"/>
      </w:pPr>
      <w:r>
        <w:t>Notification triggers if biochar is not used as intended (disposed, stored indefinitely, transferred elsewhere) or if kiln operations are paused or interrupted during a period when char has been delivered. Both are corrective-mechanism triggers under our framework.</w:t>
      </w:r>
    </w:p>
    <w:p w14:paraId="13819725" w14:textId="786B5DEB" w:rsidR="007129A0" w:rsidRDefault="00950110">
      <w:pPr>
        <w:pStyle w:val="ListParagraph"/>
        <w:numPr>
          <w:ilvl w:val="0"/>
          <w:numId w:val="4"/>
        </w:numPr>
        <w:spacing w:after="80"/>
      </w:pPr>
      <w:r>
        <w:t xml:space="preserve">Counterfactual fuel attestation — the kiln operator confirms PRB / bituminous coal </w:t>
      </w:r>
      <w:r w:rsidR="007B02CE">
        <w:t xml:space="preserve">(or whatever is appropriate to historical </w:t>
      </w:r>
      <w:proofErr w:type="spellStart"/>
      <w:r w:rsidR="007B02CE">
        <w:t xml:space="preserve">operations) </w:t>
      </w:r>
      <w:proofErr w:type="spellEnd"/>
      <w:r>
        <w:t xml:space="preserve">would have been the alternative fuel absent biochar. </w:t>
      </w:r>
      <w:r w:rsidR="007B02CE">
        <w:t xml:space="preserve">An </w:t>
      </w:r>
      <w:r>
        <w:t>affidavit is acceptable per Section 6.1.</w:t>
      </w:r>
    </w:p>
    <w:p w14:paraId="6D901C50" w14:textId="77777777" w:rsidR="007129A0" w:rsidRDefault="00950110">
      <w:pPr>
        <w:spacing w:after="120"/>
      </w:pPr>
      <w:r>
        <w:t>Beyond the affidavit itself, the offtake commercial terms need to bind the operator to (</w:t>
      </w:r>
      <w:proofErr w:type="spellStart"/>
      <w:r>
        <w:t>i</w:t>
      </w:r>
      <w:proofErr w:type="spellEnd"/>
      <w:r>
        <w:t xml:space="preserve">) notify Charm on char-fate change or kiln pause, (ii) provide pre- and post-intervention fuel-consumption data over a </w:t>
      </w:r>
      <w:r>
        <w:lastRenderedPageBreak/>
        <w:t>representative period, and (iii) not apply the avoided emissions or biochar use to their own scope-1/EPD/marketing claims. Detail in the playbook.</w:t>
      </w:r>
    </w:p>
    <w:p w14:paraId="4C9B19E7" w14:textId="77777777" w:rsidR="007129A0" w:rsidRDefault="00950110">
      <w:pPr>
        <w:pStyle w:val="Heading2"/>
      </w:pPr>
      <w:r>
        <w:t>Operations — detail</w:t>
      </w:r>
    </w:p>
    <w:p w14:paraId="753DA1E2" w14:textId="77777777" w:rsidR="007129A0" w:rsidRDefault="00950110">
      <w:pPr>
        <w:spacing w:after="120"/>
      </w:pPr>
      <w:r>
        <w:t>Existing batch tracking already covers physical traceability — UID linked to its production period, calibrated mass, shipped destination. The framework adds a thin accounting layer on top of that, per UID:</w:t>
      </w:r>
    </w:p>
    <w:p w14:paraId="58785BAD" w14:textId="77777777" w:rsidR="007129A0" w:rsidRDefault="00950110">
      <w:pPr>
        <w:pStyle w:val="ListParagraph"/>
        <w:numPr>
          <w:ilvl w:val="0"/>
          <w:numId w:val="2"/>
        </w:numPr>
        <w:spacing w:after="80"/>
      </w:pPr>
      <w:r>
        <w:t>Declared fate at PP close (CDR or substitution)</w:t>
      </w:r>
    </w:p>
    <w:p w14:paraId="1C61F05D" w14:textId="77777777" w:rsidR="007129A0" w:rsidRDefault="00950110">
      <w:pPr>
        <w:pStyle w:val="ListParagraph"/>
        <w:numPr>
          <w:ilvl w:val="0"/>
          <w:numId w:val="2"/>
        </w:numPr>
        <w:spacing w:after="80"/>
      </w:pPr>
      <w:r>
        <w:t>Allocation procedure applied to that PP's CI calculation as a result (Procedure 3 or Procedure 4)</w:t>
      </w:r>
    </w:p>
    <w:p w14:paraId="744EE491" w14:textId="77777777" w:rsidR="007129A0" w:rsidRDefault="00950110">
      <w:pPr>
        <w:pStyle w:val="ListParagraph"/>
        <w:numPr>
          <w:ilvl w:val="0"/>
          <w:numId w:val="2"/>
        </w:numPr>
        <w:spacing w:after="80"/>
      </w:pPr>
      <w:r>
        <w:t>Date the 12-month confirmation window opened (= PP close)</w:t>
      </w:r>
    </w:p>
    <w:p w14:paraId="11A38524" w14:textId="77777777" w:rsidR="007129A0" w:rsidRDefault="00950110">
      <w:pPr>
        <w:pStyle w:val="ListParagraph"/>
        <w:numPr>
          <w:ilvl w:val="0"/>
          <w:numId w:val="2"/>
        </w:numPr>
        <w:spacing w:after="80"/>
      </w:pPr>
      <w:r>
        <w:t>Confirmed fate (and date confirmed) once known</w:t>
      </w:r>
    </w:p>
    <w:p w14:paraId="4937704C" w14:textId="77777777" w:rsidR="007129A0" w:rsidRDefault="00950110">
      <w:pPr>
        <w:pStyle w:val="ListParagraph"/>
        <w:numPr>
          <w:ilvl w:val="0"/>
          <w:numId w:val="2"/>
        </w:numPr>
        <w:spacing w:after="80"/>
      </w:pPr>
      <w:r>
        <w:t>Status flag: committed, confirmed, pending, diverted, or lapsed</w:t>
      </w:r>
    </w:p>
    <w:p w14:paraId="6EDBF29E" w14:textId="60BA5A8C" w:rsidR="007129A0" w:rsidRDefault="00950110">
      <w:pPr>
        <w:spacing w:after="120"/>
      </w:pPr>
      <w:r>
        <w:t>Process to flag and trigger the corrective mechanism if the 12-month window lapses without confirmation. The VVB will audit this at the first verification event that uses the substitution method, and at every subsequent verification.</w:t>
      </w:r>
      <w:r w:rsidR="00490B59">
        <w:t xml:space="preserve"> I have a feeling that </w:t>
      </w:r>
      <w:proofErr w:type="spellStart"/>
      <w:r w:rsidR="00490B59">
        <w:t>Manufacturo</w:t>
      </w:r>
      <w:proofErr w:type="spellEnd"/>
      <w:r w:rsidR="00490B59">
        <w:t xml:space="preserve"> will be a good platform for this as we’re just adding data to units we are already tracking.</w:t>
      </w:r>
    </w:p>
    <w:p w14:paraId="06F77D88" w14:textId="77777777" w:rsidR="007129A0" w:rsidRDefault="00950110">
      <w:pPr>
        <w:pStyle w:val="Heading2"/>
      </w:pPr>
      <w:r>
        <w:t>MRV / Accounting — detail</w:t>
      </w:r>
    </w:p>
    <w:p w14:paraId="5F976DB2" w14:textId="77777777" w:rsidR="007129A0" w:rsidRDefault="00950110">
      <w:pPr>
        <w:spacing w:after="120"/>
      </w:pPr>
      <w:r>
        <w:t xml:space="preserve">Each verification using the substitution method must show net-negative </w:t>
      </w:r>
      <w:proofErr w:type="spellStart"/>
      <w:r>
        <w:t>CO₂e</w:t>
      </w:r>
      <w:proofErr w:type="spellEnd"/>
      <w:r>
        <w:t xml:space="preserve"> removals before substitution is applied (EC3). This is established practice in our existing biochar CDR work and is acceptable evidence per Isometric's Mar 31 confirmation. Annual </w:t>
      </w:r>
      <w:proofErr w:type="spellStart"/>
      <w:r>
        <w:t>Decarbonisation</w:t>
      </w:r>
      <w:proofErr w:type="spellEnd"/>
      <w:r>
        <w:t xml:space="preserve"> Statement updates are required and benefit from the residual-emissions breakdown we shared in our Feb 25 response (propane and embodied emissions account for ~80% of Basco residual emissions; remaining sources are below materiality thresholds for further decarbonization investment).</w:t>
      </w:r>
    </w:p>
    <w:p w14:paraId="4F5834B5" w14:textId="68309E86" w:rsidR="007129A0" w:rsidRDefault="00950110">
      <w:pPr>
        <w:spacing w:after="120"/>
      </w:pPr>
      <w:r>
        <w:t xml:space="preserve">The corrective math when actuals diverge from declarations is captured in the scenario matrix and walked through in the accounting explainer. </w:t>
      </w:r>
    </w:p>
    <w:p w14:paraId="05EAE4F1" w14:textId="77777777" w:rsidR="007129A0" w:rsidRDefault="00950110">
      <w:pPr>
        <w:pStyle w:val="Heading1"/>
      </w:pPr>
      <w:r>
        <w:t>Sequence and decision gates</w:t>
      </w:r>
    </w:p>
    <w:p w14:paraId="1F5D9538" w14:textId="77777777" w:rsidR="007129A0" w:rsidRDefault="00950110">
      <w:pPr>
        <w:spacing w:after="120"/>
      </w:pPr>
      <w:r>
        <w:t>This is a rollout of an accepted framework, not a re-litigation. The work is largely sequential because the affidavit governs what the kiln operator commits to, and downstream batch-tracking and evidence collection assume those commitments are in place.</w:t>
      </w:r>
    </w:p>
    <w:p w14:paraId="64324A80" w14:textId="77777777" w:rsidR="007129A0" w:rsidRDefault="00950110">
      <w:pPr>
        <w:pStyle w:val="ListParagraph"/>
        <w:numPr>
          <w:ilvl w:val="0"/>
          <w:numId w:val="5"/>
        </w:numPr>
        <w:spacing w:after="80"/>
      </w:pPr>
      <w:r>
        <w:t>Affidavit v2 redlined and circulated to materials/commercial team — this brief</w:t>
      </w:r>
    </w:p>
    <w:p w14:paraId="78610370" w14:textId="77777777" w:rsidR="007129A0" w:rsidRDefault="00950110">
      <w:pPr>
        <w:pStyle w:val="ListParagraph"/>
        <w:numPr>
          <w:ilvl w:val="0"/>
          <w:numId w:val="5"/>
        </w:numPr>
        <w:spacing w:after="80"/>
      </w:pPr>
      <w:r>
        <w:t>Commercial team negotiates v2 affidavit and corresponding offtake-term language with cement kiln counterparty</w:t>
      </w:r>
    </w:p>
    <w:p w14:paraId="3CCDD1F4" w14:textId="77777777" w:rsidR="007129A0" w:rsidRDefault="00950110">
      <w:pPr>
        <w:pStyle w:val="ListParagraph"/>
        <w:numPr>
          <w:ilvl w:val="0"/>
          <w:numId w:val="5"/>
        </w:numPr>
        <w:spacing w:after="80"/>
      </w:pPr>
      <w:r>
        <w:t xml:space="preserve">Operations </w:t>
      </w:r>
      <w:proofErr w:type="gramStart"/>
      <w:r>
        <w:t>stands</w:t>
      </w:r>
      <w:proofErr w:type="gramEnd"/>
      <w:r>
        <w:t xml:space="preserve"> up the accounting linkage extension to the supersack UID system; first </w:t>
      </w:r>
      <w:proofErr w:type="gramStart"/>
      <w:r>
        <w:t>dry-run</w:t>
      </w:r>
      <w:proofErr w:type="gramEnd"/>
      <w:r>
        <w:t xml:space="preserve"> on existing inventory</w:t>
      </w:r>
    </w:p>
    <w:p w14:paraId="3EFC57A1" w14:textId="77777777" w:rsidR="007129A0" w:rsidRDefault="00950110">
      <w:pPr>
        <w:pStyle w:val="ListParagraph"/>
        <w:numPr>
          <w:ilvl w:val="0"/>
          <w:numId w:val="5"/>
        </w:numPr>
        <w:spacing w:after="80"/>
      </w:pPr>
      <w:r>
        <w:t>First Production Period under predict-and-adjust framework: declare fate at PP close, apply substitution method to compute the PP bio-oil CI, log to batch tracker</w:t>
      </w:r>
    </w:p>
    <w:p w14:paraId="71BA9B18" w14:textId="77777777" w:rsidR="007129A0" w:rsidRDefault="00950110">
      <w:pPr>
        <w:pStyle w:val="ListParagraph"/>
        <w:numPr>
          <w:ilvl w:val="0"/>
          <w:numId w:val="5"/>
        </w:numPr>
        <w:spacing w:after="80"/>
      </w:pPr>
      <w:r>
        <w:t>First verification event using substitution method: VVB audits batch tracking system and evidence package; uncertainty discount confirmed</w:t>
      </w:r>
    </w:p>
    <w:p w14:paraId="1EDCDF3B" w14:textId="77777777" w:rsidR="007129A0" w:rsidRDefault="00950110">
      <w:pPr>
        <w:pStyle w:val="ListParagraph"/>
        <w:numPr>
          <w:ilvl w:val="0"/>
          <w:numId w:val="5"/>
        </w:numPr>
        <w:spacing w:after="80"/>
      </w:pPr>
      <w:r>
        <w:lastRenderedPageBreak/>
        <w:t>12-month confirmation windows (opened at PP close) start to lapse on first batches; no corrective triggers if char follows declared fate</w:t>
      </w:r>
    </w:p>
    <w:p w14:paraId="1A6CA97C" w14:textId="77777777" w:rsidR="007129A0" w:rsidRDefault="00950110">
      <w:pPr>
        <w:pStyle w:val="Heading1"/>
      </w:pPr>
      <w:r>
        <w:t>Open items and known risks</w:t>
      </w:r>
    </w:p>
    <w:p w14:paraId="70E280B5" w14:textId="77777777" w:rsidR="007129A0" w:rsidRDefault="00950110">
      <w:pPr>
        <w:pStyle w:val="ListParagraph"/>
        <w:numPr>
          <w:ilvl w:val="0"/>
          <w:numId w:val="2"/>
        </w:numPr>
        <w:spacing w:after="80"/>
      </w:pPr>
      <w:proofErr w:type="spellStart"/>
      <w:r>
        <w:rPr>
          <w:b/>
          <w:bCs/>
        </w:rPr>
        <w:t>Decarbonisation</w:t>
      </w:r>
      <w:proofErr w:type="spellEnd"/>
      <w:r>
        <w:rPr>
          <w:b/>
          <w:bCs/>
        </w:rPr>
        <w:t xml:space="preserve"> Statement annual cadence. </w:t>
      </w:r>
      <w:r>
        <w:t xml:space="preserve">Annual update required; first one will need to land before the first verification under substitution. The residual-emissions breakdown we shared on Feb 25 forms the spine — propane (RNG infeasible at our scale) and embodied (already commissioned) account for ~80%; gasoline and electricity are below 1% individually. We should formalize this into the standing </w:t>
      </w:r>
      <w:proofErr w:type="spellStart"/>
      <w:r>
        <w:t>Decarbonisation</w:t>
      </w:r>
      <w:proofErr w:type="spellEnd"/>
      <w:r>
        <w:t xml:space="preserve"> Statement.</w:t>
      </w:r>
    </w:p>
    <w:p w14:paraId="73141295" w14:textId="23183532" w:rsidR="00157831" w:rsidRDefault="00157831">
      <w:pPr>
        <w:pStyle w:val="ListParagraph"/>
        <w:numPr>
          <w:ilvl w:val="0"/>
          <w:numId w:val="2"/>
        </w:numPr>
        <w:spacing w:after="80"/>
      </w:pPr>
      <w:r>
        <w:rPr>
          <w:b/>
          <w:bCs/>
        </w:rPr>
        <w:t>Pilot Crediting Edge Case</w:t>
      </w:r>
      <w:r>
        <w:rPr/>
        <w:t>. Two angles to manage. (1) Avoided-emissions estimate basis. No kiln data exists at first pilot, so propose substitution at equivalent heating value as the estimating basis. Isometric may push for an uncertainty discount on this, not worth blocking progress on. (2) Inventory selection tradeoff. Char drawn from PPs whose bio-oil has already been externally claimed under Procedure 4 cannot capture the substitution benefit because the PP CI is locked. Scenario-3 logic fires at activation, the char forfeits its CDR allocation, and a bio-oil RP penalty triggers if avoided emissions are less than the char’s mass-balance allocated share. Char drawn from PPs whose bio-oil has not yet been externally claimed gets full Procedure 3 treatment at first external claim, with the full substitution benefit captured. Bias pilot inventory toward not-yet-claimed PPs where operationally feasible, and use legacy already-claimed char only when unavoidable. The “PP close” reference point for predict-and-adjust is the moment of external claim (inclusion in a verified GHG statement), not internal accounting close.</w:t>
      </w:r>
    </w:p>
    <w:p w14:paraId="6E41D16E" w14:textId="2A062F37" w:rsidR="00157831" w:rsidRDefault="00157831">
      <w:pPr>
        <w:pStyle w:val="ListParagraph"/>
        <w:numPr>
          <w:ilvl w:val="0"/>
          <w:numId w:val="2"/>
        </w:numPr>
        <w:spacing w:after="80"/>
      </w:pPr>
      <w:r>
        <w:rPr>
          <w:b/>
          <w:bCs/>
        </w:rPr>
        <w:t>“Char Type” Definition</w:t>
      </w:r>
      <w:r>
        <w:t xml:space="preserve">. This wasn’t defined explicitly in </w:t>
      </w:r>
      <w:proofErr w:type="gramStart"/>
      <w:r>
        <w:t>negotiations, but</w:t>
      </w:r>
      <w:proofErr w:type="gramEnd"/>
      <w:r>
        <w:t xml:space="preserve"> will confirm that char produced using the same feedstock/tech combination will be treated as substantially similar and not need to be recharacterized in terms of HHV, etc. to be eligible for substitution. </w:t>
      </w:r>
    </w:p>
    <w:p w14:paraId="08B4E882" w14:textId="65EBE957" w:rsidR="00BD62CE" w:rsidRDefault="00BD62CE">
      <w:pPr>
        <w:pStyle w:val="ListParagraph"/>
        <w:numPr>
          <w:ilvl w:val="0"/>
          <w:numId w:val="2"/>
        </w:numPr>
        <w:spacing w:after="80"/>
      </w:pPr>
      <w:r>
        <w:rPr>
          <w:rStyle w:val="Strong"/>
        </w:rPr>
        <w:t>Equivalence-test cadence — pushback to Isometric on per-PP characterization.</w:t>
      </w:r>
      <w:r>
        <w:t xml:space="preserve"> Read strictly, the Feb 12 wording on "equivalent composition and same process parameters" between pilot and production biochar implies per-PP lab characterization. That's a tighter evidentiary standard than Charm applies to any other CDR pathway, where biochar produced from the same feedstock through the same </w:t>
      </w:r>
      <w:proofErr w:type="spellStart"/>
      <w:r>
        <w:t>pyrolyzer</w:t>
      </w:r>
      <w:proofErr w:type="spellEnd"/>
      <w:r>
        <w:t xml:space="preserve"> generation is treated as essentially equivalent without per-batch testing. The corrective mechanism (kiln-side actuals at true-up) and Charm's direct financial exposure to drift already provide the integrity check, with faster and more directly relevant signal than a parallel lab regime</w:t>
      </w:r>
      <w:r>
        <w:t>.</w:t>
      </w:r>
    </w:p>
    <w:p w14:paraId="3C709F48" w14:textId="77777777" w:rsidR="007129A0" w:rsidRDefault="00950110">
      <w:pPr>
        <w:pStyle w:val="Heading1"/>
      </w:pPr>
      <w:r>
        <w:t>Companion documents and references</w:t>
      </w:r>
    </w:p>
    <w:p w14:paraId="479B6CD7" w14:textId="77777777" w:rsidR="007129A0" w:rsidRDefault="00950110">
      <w:pPr>
        <w:pStyle w:val="Heading2"/>
      </w:pPr>
      <w:r>
        <w:t>Companion documents (this set)</w:t>
      </w:r>
    </w:p>
    <w:p w14:paraId="30AB4C39" w14:textId="77777777" w:rsidR="007129A0" w:rsidRDefault="00950110">
      <w:pPr>
        <w:pStyle w:val="ListParagraph"/>
        <w:numPr>
          <w:ilvl w:val="0"/>
          <w:numId w:val="2"/>
        </w:numPr>
        <w:spacing w:after="80"/>
      </w:pPr>
      <w:r>
        <w:rPr>
          <w:b/>
          <w:bCs/>
        </w:rPr>
        <w:t xml:space="preserve">Cement Kiln Substitution Affidavit v2 — </w:t>
      </w:r>
      <w:r>
        <w:t>redline-ready draft incorporating Isometric Mar 31 asks. Materials/commercial team to negotiate with kiln counterparty.</w:t>
      </w:r>
    </w:p>
    <w:p w14:paraId="3697F190" w14:textId="77777777" w:rsidR="007129A0" w:rsidRDefault="00950110">
      <w:pPr>
        <w:pStyle w:val="ListParagraph"/>
        <w:numPr>
          <w:ilvl w:val="0"/>
          <w:numId w:val="2"/>
        </w:numPr>
        <w:spacing w:after="80"/>
      </w:pPr>
      <w:r>
        <w:rPr>
          <w:b/>
          <w:bCs/>
        </w:rPr>
        <w:t xml:space="preserve">Biochar Cement Substitution Playbook — </w:t>
      </w:r>
      <w:r>
        <w:t>step-by-step rollout for commercial and operations, including evidence collection checklist, RACI, batch tracking system extensions, and decision triggers.</w:t>
      </w:r>
    </w:p>
    <w:p w14:paraId="7E1AE665" w14:textId="77777777" w:rsidR="007129A0" w:rsidRDefault="00950110">
      <w:pPr>
        <w:pStyle w:val="ListParagraph"/>
        <w:numPr>
          <w:ilvl w:val="0"/>
          <w:numId w:val="2"/>
        </w:numPr>
        <w:spacing w:after="80"/>
      </w:pPr>
      <w:r>
        <w:rPr>
          <w:b/>
          <w:bCs/>
        </w:rPr>
        <w:t xml:space="preserve">Biochar Cement Substitution Accounting Explainer — </w:t>
      </w:r>
      <w:r>
        <w:t>plain-language walkthrough of substitution method vs. carbon mass balance, the four scenarios, the 0% uncertainty discount, and how true-ups flow through Certify.</w:t>
      </w:r>
    </w:p>
    <w:p w14:paraId="69059CA9" w14:textId="77777777" w:rsidR="007129A0" w:rsidRDefault="00950110">
      <w:pPr>
        <w:pStyle w:val="Heading2"/>
      </w:pPr>
      <w:r>
        <w:t>Source materials</w:t>
      </w:r>
    </w:p>
    <w:p w14:paraId="1757F5DC" w14:textId="77777777" w:rsidR="007129A0" w:rsidRDefault="00950110">
      <w:pPr>
        <w:pStyle w:val="ListParagraph"/>
        <w:numPr>
          <w:ilvl w:val="0"/>
          <w:numId w:val="2"/>
        </w:numPr>
        <w:spacing w:after="80"/>
      </w:pPr>
      <w:hyperlink r:id="rId6" w:history="1">
        <w:r>
          <w:rPr>
            <w:rStyle w:val="Hyperlink"/>
            <w:color w:val="1F4E79"/>
          </w:rPr>
          <w:t>Charm × Isometric: Biochar Cement Pilot Project (negotiation thread)</w:t>
        </w:r>
      </w:hyperlink>
      <w:r>
        <w:t xml:space="preserve"> — Mar 31 tab is final-aligned; Feb 12 tab is the authoritative framework outline.</w:t>
      </w:r>
    </w:p>
    <w:p w14:paraId="247FB311" w14:textId="77777777" w:rsidR="007129A0" w:rsidRDefault="00950110">
      <w:pPr>
        <w:pStyle w:val="ListParagraph"/>
        <w:numPr>
          <w:ilvl w:val="0"/>
          <w:numId w:val="2"/>
        </w:numPr>
        <w:spacing w:after="80"/>
      </w:pPr>
      <w:hyperlink r:id="rId7" w:anchor="gid=0" w:history="1">
        <w:r>
          <w:rPr>
            <w:rStyle w:val="Hyperlink"/>
            <w:color w:val="1F4E79"/>
          </w:rPr>
          <w:t>CDR/Sub Scenario Matrix</w:t>
        </w:r>
      </w:hyperlink>
      <w:r>
        <w:t xml:space="preserve"> — single source of truth on where corrections flow when declared fate diverges from actual.</w:t>
      </w:r>
    </w:p>
    <w:p w14:paraId="52056B37" w14:textId="77777777" w:rsidR="007129A0" w:rsidRDefault="00950110">
      <w:pPr>
        <w:pStyle w:val="ListParagraph"/>
        <w:numPr>
          <w:ilvl w:val="0"/>
          <w:numId w:val="2"/>
        </w:numPr>
        <w:spacing w:after="80"/>
      </w:pPr>
      <w:hyperlink r:id="rId8" w:anchor="gid=482161877" w:history="1">
        <w:r>
          <w:rPr>
            <w:rStyle w:val="Hyperlink"/>
            <w:color w:val="1F4E79"/>
          </w:rPr>
          <w:t>Biochar Substitution Scenarios and Evidence (simulator)</w:t>
        </w:r>
      </w:hyperlink>
      <w:r>
        <w:t xml:space="preserve"> — quantitative model for the predict-and-adjust math; computes penalties as inputs to the matrix.</w:t>
      </w:r>
    </w:p>
    <w:p w14:paraId="34EF073B" w14:textId="77777777" w:rsidR="007129A0" w:rsidRDefault="00950110">
      <w:pPr>
        <w:pStyle w:val="ListParagraph"/>
        <w:numPr>
          <w:ilvl w:val="0"/>
          <w:numId w:val="2"/>
        </w:numPr>
        <w:spacing w:after="80"/>
      </w:pPr>
      <w:hyperlink r:id="rId9" w:history="1">
        <w:r>
          <w:rPr>
            <w:rStyle w:val="Hyperlink"/>
            <w:color w:val="1F4E79"/>
          </w:rPr>
          <w:t>Project folder (Drive)</w:t>
        </w:r>
      </w:hyperlink>
      <w:r>
        <w:t xml:space="preserve"> — full document repository including the original affidavit draft, Cemex lab report (Nov 2025), and white paper.</w:t>
      </w:r>
    </w:p>
    <w:p w14:paraId="50F52BA3" w14:textId="77777777" w:rsidR="007129A0" w:rsidRDefault="00950110">
      <w:pPr>
        <w:pStyle w:val="ListParagraph"/>
        <w:numPr>
          <w:ilvl w:val="0"/>
          <w:numId w:val="2"/>
        </w:numPr>
        <w:spacing w:after="80"/>
      </w:pPr>
      <w:hyperlink r:id="rId10" w:anchor="co-product-emissions-allocation" w:history="1">
        <w:r>
          <w:rPr>
            <w:rStyle w:val="Hyperlink"/>
            <w:color w:val="1F4E79"/>
          </w:rPr>
          <w:t>GHG Accounting Module Section 6.1</w:t>
        </w:r>
      </w:hyperlink>
      <w:r>
        <w:t xml:space="preserve"> — Procedures 3 (substitution) and 4 (carbon mass balance), eligibility criteria, evidence requirements.</w:t>
      </w:r>
    </w:p>
    <w:sectPr w:rsidR="007129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6FC"/>
    <w:multiLevelType w:val="hybridMultilevel"/>
    <w:tmpl w:val="214A6212"/>
    <w:lvl w:ilvl="0" w:tplc="AB46136C">
      <w:start w:val="1"/>
      <w:numFmt w:val="decimal"/>
      <w:lvlText w:val="%1."/>
      <w:lvlJc w:val="left"/>
      <w:pPr>
        <w:ind w:left="720" w:hanging="360"/>
      </w:pPr>
    </w:lvl>
    <w:lvl w:ilvl="1" w:tplc="7798952A">
      <w:start w:val="1"/>
      <w:numFmt w:val="lowerLetter"/>
      <w:lvlText w:val="%2."/>
      <w:lvlJc w:val="left"/>
      <w:pPr>
        <w:ind w:left="1440" w:hanging="360"/>
      </w:pPr>
    </w:lvl>
    <w:lvl w:ilvl="2" w:tplc="D7266852">
      <w:numFmt w:val="decimal"/>
      <w:lvlText w:val=""/>
      <w:lvlJc w:val="left"/>
    </w:lvl>
    <w:lvl w:ilvl="3" w:tplc="70A273FE">
      <w:numFmt w:val="decimal"/>
      <w:lvlText w:val=""/>
      <w:lvlJc w:val="left"/>
    </w:lvl>
    <w:lvl w:ilvl="4" w:tplc="7C8C7762">
      <w:numFmt w:val="decimal"/>
      <w:lvlText w:val=""/>
      <w:lvlJc w:val="left"/>
    </w:lvl>
    <w:lvl w:ilvl="5" w:tplc="51708A5C">
      <w:numFmt w:val="decimal"/>
      <w:lvlText w:val=""/>
      <w:lvlJc w:val="left"/>
    </w:lvl>
    <w:lvl w:ilvl="6" w:tplc="7AFE0432">
      <w:numFmt w:val="decimal"/>
      <w:lvlText w:val=""/>
      <w:lvlJc w:val="left"/>
    </w:lvl>
    <w:lvl w:ilvl="7" w:tplc="68A04AFA">
      <w:numFmt w:val="decimal"/>
      <w:lvlText w:val=""/>
      <w:lvlJc w:val="left"/>
    </w:lvl>
    <w:lvl w:ilvl="8" w:tplc="B56C83DE">
      <w:numFmt w:val="decimal"/>
      <w:lvlText w:val=""/>
      <w:lvlJc w:val="left"/>
    </w:lvl>
  </w:abstractNum>
  <w:abstractNum w:abstractNumId="1" w15:restartNumberingAfterBreak="0">
    <w:nsid w:val="05E976D6"/>
    <w:multiLevelType w:val="hybridMultilevel"/>
    <w:tmpl w:val="A79ECECE"/>
    <w:lvl w:ilvl="0" w:tplc="5CFE090A">
      <w:start w:val="1"/>
      <w:numFmt w:val="decimal"/>
      <w:lvlText w:val="%1."/>
      <w:lvlJc w:val="left"/>
      <w:pPr>
        <w:ind w:left="720" w:hanging="360"/>
      </w:pPr>
    </w:lvl>
    <w:lvl w:ilvl="1" w:tplc="0C961F68">
      <w:start w:val="1"/>
      <w:numFmt w:val="lowerLetter"/>
      <w:lvlText w:val="%2."/>
      <w:lvlJc w:val="left"/>
      <w:pPr>
        <w:ind w:left="1440" w:hanging="360"/>
      </w:pPr>
    </w:lvl>
    <w:lvl w:ilvl="2" w:tplc="2EBEADF4">
      <w:numFmt w:val="decimal"/>
      <w:lvlText w:val=""/>
      <w:lvlJc w:val="left"/>
    </w:lvl>
    <w:lvl w:ilvl="3" w:tplc="FEE8C626">
      <w:numFmt w:val="decimal"/>
      <w:lvlText w:val=""/>
      <w:lvlJc w:val="left"/>
    </w:lvl>
    <w:lvl w:ilvl="4" w:tplc="1966AF3C">
      <w:numFmt w:val="decimal"/>
      <w:lvlText w:val=""/>
      <w:lvlJc w:val="left"/>
    </w:lvl>
    <w:lvl w:ilvl="5" w:tplc="30C68FE2">
      <w:numFmt w:val="decimal"/>
      <w:lvlText w:val=""/>
      <w:lvlJc w:val="left"/>
    </w:lvl>
    <w:lvl w:ilvl="6" w:tplc="7CCC184E">
      <w:numFmt w:val="decimal"/>
      <w:lvlText w:val=""/>
      <w:lvlJc w:val="left"/>
    </w:lvl>
    <w:lvl w:ilvl="7" w:tplc="A9E8A89E">
      <w:numFmt w:val="decimal"/>
      <w:lvlText w:val=""/>
      <w:lvlJc w:val="left"/>
    </w:lvl>
    <w:lvl w:ilvl="8" w:tplc="218697C0">
      <w:numFmt w:val="decimal"/>
      <w:lvlText w:val=""/>
      <w:lvlJc w:val="left"/>
    </w:lvl>
  </w:abstractNum>
  <w:abstractNum w:abstractNumId="2" w15:restartNumberingAfterBreak="0">
    <w:nsid w:val="07587751"/>
    <w:multiLevelType w:val="hybridMultilevel"/>
    <w:tmpl w:val="8634F548"/>
    <w:lvl w:ilvl="0" w:tplc="5568E1D0">
      <w:start w:val="1"/>
      <w:numFmt w:val="decimal"/>
      <w:lvlText w:val="%1."/>
      <w:lvlJc w:val="left"/>
      <w:pPr>
        <w:ind w:left="720" w:hanging="360"/>
      </w:pPr>
    </w:lvl>
    <w:lvl w:ilvl="1" w:tplc="732CC29C">
      <w:start w:val="1"/>
      <w:numFmt w:val="lowerLetter"/>
      <w:lvlText w:val="%2."/>
      <w:lvlJc w:val="left"/>
      <w:pPr>
        <w:ind w:left="1440" w:hanging="360"/>
      </w:pPr>
    </w:lvl>
    <w:lvl w:ilvl="2" w:tplc="8D3CA1B2">
      <w:numFmt w:val="decimal"/>
      <w:lvlText w:val=""/>
      <w:lvlJc w:val="left"/>
    </w:lvl>
    <w:lvl w:ilvl="3" w:tplc="D06ECC4C">
      <w:numFmt w:val="decimal"/>
      <w:lvlText w:val=""/>
      <w:lvlJc w:val="left"/>
    </w:lvl>
    <w:lvl w:ilvl="4" w:tplc="2C984076">
      <w:numFmt w:val="decimal"/>
      <w:lvlText w:val=""/>
      <w:lvlJc w:val="left"/>
    </w:lvl>
    <w:lvl w:ilvl="5" w:tplc="6B4CA812">
      <w:numFmt w:val="decimal"/>
      <w:lvlText w:val=""/>
      <w:lvlJc w:val="left"/>
    </w:lvl>
    <w:lvl w:ilvl="6" w:tplc="51800754">
      <w:numFmt w:val="decimal"/>
      <w:lvlText w:val=""/>
      <w:lvlJc w:val="left"/>
    </w:lvl>
    <w:lvl w:ilvl="7" w:tplc="757A60F2">
      <w:numFmt w:val="decimal"/>
      <w:lvlText w:val=""/>
      <w:lvlJc w:val="left"/>
    </w:lvl>
    <w:lvl w:ilvl="8" w:tplc="BCF6D568">
      <w:numFmt w:val="decimal"/>
      <w:lvlText w:val=""/>
      <w:lvlJc w:val="left"/>
    </w:lvl>
  </w:abstractNum>
  <w:abstractNum w:abstractNumId="3" w15:restartNumberingAfterBreak="0">
    <w:nsid w:val="08945672"/>
    <w:multiLevelType w:val="hybridMultilevel"/>
    <w:tmpl w:val="1DA8271E"/>
    <w:lvl w:ilvl="0" w:tplc="130022EE">
      <w:start w:val="1"/>
      <w:numFmt w:val="decimal"/>
      <w:lvlText w:val="%1."/>
      <w:lvlJc w:val="left"/>
      <w:pPr>
        <w:ind w:left="720" w:hanging="360"/>
      </w:pPr>
    </w:lvl>
    <w:lvl w:ilvl="1" w:tplc="48B47098">
      <w:start w:val="1"/>
      <w:numFmt w:val="lowerLetter"/>
      <w:lvlText w:val="%2."/>
      <w:lvlJc w:val="left"/>
      <w:pPr>
        <w:ind w:left="1440" w:hanging="360"/>
      </w:pPr>
    </w:lvl>
    <w:lvl w:ilvl="2" w:tplc="E698DDE6">
      <w:numFmt w:val="decimal"/>
      <w:lvlText w:val=""/>
      <w:lvlJc w:val="left"/>
    </w:lvl>
    <w:lvl w:ilvl="3" w:tplc="421C76FC">
      <w:numFmt w:val="decimal"/>
      <w:lvlText w:val=""/>
      <w:lvlJc w:val="left"/>
    </w:lvl>
    <w:lvl w:ilvl="4" w:tplc="0FFEDE54">
      <w:numFmt w:val="decimal"/>
      <w:lvlText w:val=""/>
      <w:lvlJc w:val="left"/>
    </w:lvl>
    <w:lvl w:ilvl="5" w:tplc="D4AE961C">
      <w:numFmt w:val="decimal"/>
      <w:lvlText w:val=""/>
      <w:lvlJc w:val="left"/>
    </w:lvl>
    <w:lvl w:ilvl="6" w:tplc="5236468A">
      <w:numFmt w:val="decimal"/>
      <w:lvlText w:val=""/>
      <w:lvlJc w:val="left"/>
    </w:lvl>
    <w:lvl w:ilvl="7" w:tplc="A5564BD2">
      <w:numFmt w:val="decimal"/>
      <w:lvlText w:val=""/>
      <w:lvlJc w:val="left"/>
    </w:lvl>
    <w:lvl w:ilvl="8" w:tplc="08748E9C">
      <w:numFmt w:val="decimal"/>
      <w:lvlText w:val=""/>
      <w:lvlJc w:val="left"/>
    </w:lvl>
  </w:abstractNum>
  <w:abstractNum w:abstractNumId="4" w15:restartNumberingAfterBreak="0">
    <w:nsid w:val="12D64636"/>
    <w:multiLevelType w:val="hybridMultilevel"/>
    <w:tmpl w:val="6C0C669E"/>
    <w:lvl w:ilvl="0" w:tplc="4D0666D4">
      <w:start w:val="1"/>
      <w:numFmt w:val="decimal"/>
      <w:lvlText w:val="%1."/>
      <w:lvlJc w:val="left"/>
      <w:pPr>
        <w:ind w:left="720" w:hanging="360"/>
      </w:pPr>
    </w:lvl>
    <w:lvl w:ilvl="1" w:tplc="55505432">
      <w:start w:val="1"/>
      <w:numFmt w:val="lowerLetter"/>
      <w:lvlText w:val="%2."/>
      <w:lvlJc w:val="left"/>
      <w:pPr>
        <w:ind w:left="1440" w:hanging="360"/>
      </w:pPr>
    </w:lvl>
    <w:lvl w:ilvl="2" w:tplc="61B2702E">
      <w:numFmt w:val="decimal"/>
      <w:lvlText w:val=""/>
      <w:lvlJc w:val="left"/>
    </w:lvl>
    <w:lvl w:ilvl="3" w:tplc="F8E4DB3C">
      <w:numFmt w:val="decimal"/>
      <w:lvlText w:val=""/>
      <w:lvlJc w:val="left"/>
    </w:lvl>
    <w:lvl w:ilvl="4" w:tplc="0E288B84">
      <w:numFmt w:val="decimal"/>
      <w:lvlText w:val=""/>
      <w:lvlJc w:val="left"/>
    </w:lvl>
    <w:lvl w:ilvl="5" w:tplc="C160240C">
      <w:numFmt w:val="decimal"/>
      <w:lvlText w:val=""/>
      <w:lvlJc w:val="left"/>
    </w:lvl>
    <w:lvl w:ilvl="6" w:tplc="4AD64780">
      <w:numFmt w:val="decimal"/>
      <w:lvlText w:val=""/>
      <w:lvlJc w:val="left"/>
    </w:lvl>
    <w:lvl w:ilvl="7" w:tplc="7C2AEE30">
      <w:numFmt w:val="decimal"/>
      <w:lvlText w:val=""/>
      <w:lvlJc w:val="left"/>
    </w:lvl>
    <w:lvl w:ilvl="8" w:tplc="54DE470E">
      <w:numFmt w:val="decimal"/>
      <w:lvlText w:val=""/>
      <w:lvlJc w:val="left"/>
    </w:lvl>
  </w:abstractNum>
  <w:abstractNum w:abstractNumId="5" w15:restartNumberingAfterBreak="0">
    <w:nsid w:val="158B25B0"/>
    <w:multiLevelType w:val="hybridMultilevel"/>
    <w:tmpl w:val="0D6EB3D6"/>
    <w:lvl w:ilvl="0" w:tplc="BF4AEE44">
      <w:start w:val="1"/>
      <w:numFmt w:val="decimal"/>
      <w:lvlText w:val="%1."/>
      <w:lvlJc w:val="left"/>
      <w:pPr>
        <w:ind w:left="720" w:hanging="360"/>
      </w:pPr>
    </w:lvl>
    <w:lvl w:ilvl="1" w:tplc="4CE67644">
      <w:start w:val="1"/>
      <w:numFmt w:val="lowerLetter"/>
      <w:lvlText w:val="%2."/>
      <w:lvlJc w:val="left"/>
      <w:pPr>
        <w:ind w:left="1440" w:hanging="360"/>
      </w:pPr>
    </w:lvl>
    <w:lvl w:ilvl="2" w:tplc="A6E87FD2">
      <w:numFmt w:val="decimal"/>
      <w:lvlText w:val=""/>
      <w:lvlJc w:val="left"/>
    </w:lvl>
    <w:lvl w:ilvl="3" w:tplc="3E222176">
      <w:numFmt w:val="decimal"/>
      <w:lvlText w:val=""/>
      <w:lvlJc w:val="left"/>
    </w:lvl>
    <w:lvl w:ilvl="4" w:tplc="253A6896">
      <w:numFmt w:val="decimal"/>
      <w:lvlText w:val=""/>
      <w:lvlJc w:val="left"/>
    </w:lvl>
    <w:lvl w:ilvl="5" w:tplc="C7360DF2">
      <w:numFmt w:val="decimal"/>
      <w:lvlText w:val=""/>
      <w:lvlJc w:val="left"/>
    </w:lvl>
    <w:lvl w:ilvl="6" w:tplc="78D05840">
      <w:numFmt w:val="decimal"/>
      <w:lvlText w:val=""/>
      <w:lvlJc w:val="left"/>
    </w:lvl>
    <w:lvl w:ilvl="7" w:tplc="041A955E">
      <w:numFmt w:val="decimal"/>
      <w:lvlText w:val=""/>
      <w:lvlJc w:val="left"/>
    </w:lvl>
    <w:lvl w:ilvl="8" w:tplc="D99A96A2">
      <w:numFmt w:val="decimal"/>
      <w:lvlText w:val=""/>
      <w:lvlJc w:val="left"/>
    </w:lvl>
  </w:abstractNum>
  <w:abstractNum w:abstractNumId="6" w15:restartNumberingAfterBreak="0">
    <w:nsid w:val="1DCC45EF"/>
    <w:multiLevelType w:val="hybridMultilevel"/>
    <w:tmpl w:val="4F22579A"/>
    <w:lvl w:ilvl="0" w:tplc="29DE7406">
      <w:start w:val="1"/>
      <w:numFmt w:val="decimal"/>
      <w:lvlText w:val="%1."/>
      <w:lvlJc w:val="left"/>
      <w:pPr>
        <w:ind w:left="720" w:hanging="360"/>
      </w:pPr>
    </w:lvl>
    <w:lvl w:ilvl="1" w:tplc="9F54DD9E">
      <w:start w:val="1"/>
      <w:numFmt w:val="lowerLetter"/>
      <w:lvlText w:val="%2."/>
      <w:lvlJc w:val="left"/>
      <w:pPr>
        <w:ind w:left="1440" w:hanging="360"/>
      </w:pPr>
    </w:lvl>
    <w:lvl w:ilvl="2" w:tplc="A16C2706">
      <w:numFmt w:val="decimal"/>
      <w:lvlText w:val=""/>
      <w:lvlJc w:val="left"/>
    </w:lvl>
    <w:lvl w:ilvl="3" w:tplc="7CBA91A6">
      <w:numFmt w:val="decimal"/>
      <w:lvlText w:val=""/>
      <w:lvlJc w:val="left"/>
    </w:lvl>
    <w:lvl w:ilvl="4" w:tplc="1E4EFC8A">
      <w:numFmt w:val="decimal"/>
      <w:lvlText w:val=""/>
      <w:lvlJc w:val="left"/>
    </w:lvl>
    <w:lvl w:ilvl="5" w:tplc="05D8A27C">
      <w:numFmt w:val="decimal"/>
      <w:lvlText w:val=""/>
      <w:lvlJc w:val="left"/>
    </w:lvl>
    <w:lvl w:ilvl="6" w:tplc="1C9CF008">
      <w:numFmt w:val="decimal"/>
      <w:lvlText w:val=""/>
      <w:lvlJc w:val="left"/>
    </w:lvl>
    <w:lvl w:ilvl="7" w:tplc="01BE1AC6">
      <w:numFmt w:val="decimal"/>
      <w:lvlText w:val=""/>
      <w:lvlJc w:val="left"/>
    </w:lvl>
    <w:lvl w:ilvl="8" w:tplc="6E24E084">
      <w:numFmt w:val="decimal"/>
      <w:lvlText w:val=""/>
      <w:lvlJc w:val="left"/>
    </w:lvl>
  </w:abstractNum>
  <w:abstractNum w:abstractNumId="7" w15:restartNumberingAfterBreak="0">
    <w:nsid w:val="2B807FB4"/>
    <w:multiLevelType w:val="hybridMultilevel"/>
    <w:tmpl w:val="C7D003F8"/>
    <w:lvl w:ilvl="0" w:tplc="B232D43E">
      <w:start w:val="1"/>
      <w:numFmt w:val="decimal"/>
      <w:lvlText w:val="%1."/>
      <w:lvlJc w:val="left"/>
      <w:pPr>
        <w:ind w:left="720" w:hanging="360"/>
      </w:pPr>
    </w:lvl>
    <w:lvl w:ilvl="1" w:tplc="DA54732E">
      <w:start w:val="1"/>
      <w:numFmt w:val="lowerLetter"/>
      <w:lvlText w:val="%2."/>
      <w:lvlJc w:val="left"/>
      <w:pPr>
        <w:ind w:left="1440" w:hanging="360"/>
      </w:pPr>
    </w:lvl>
    <w:lvl w:ilvl="2" w:tplc="340E6F9C">
      <w:numFmt w:val="decimal"/>
      <w:lvlText w:val=""/>
      <w:lvlJc w:val="left"/>
    </w:lvl>
    <w:lvl w:ilvl="3" w:tplc="1F8C81CC">
      <w:numFmt w:val="decimal"/>
      <w:lvlText w:val=""/>
      <w:lvlJc w:val="left"/>
    </w:lvl>
    <w:lvl w:ilvl="4" w:tplc="F3E66630">
      <w:numFmt w:val="decimal"/>
      <w:lvlText w:val=""/>
      <w:lvlJc w:val="left"/>
    </w:lvl>
    <w:lvl w:ilvl="5" w:tplc="DBE0B80A">
      <w:numFmt w:val="decimal"/>
      <w:lvlText w:val=""/>
      <w:lvlJc w:val="left"/>
    </w:lvl>
    <w:lvl w:ilvl="6" w:tplc="CF5A6E84">
      <w:numFmt w:val="decimal"/>
      <w:lvlText w:val=""/>
      <w:lvlJc w:val="left"/>
    </w:lvl>
    <w:lvl w:ilvl="7" w:tplc="394C892E">
      <w:numFmt w:val="decimal"/>
      <w:lvlText w:val=""/>
      <w:lvlJc w:val="left"/>
    </w:lvl>
    <w:lvl w:ilvl="8" w:tplc="0A1658DE">
      <w:numFmt w:val="decimal"/>
      <w:lvlText w:val=""/>
      <w:lvlJc w:val="left"/>
    </w:lvl>
  </w:abstractNum>
  <w:abstractNum w:abstractNumId="8" w15:restartNumberingAfterBreak="0">
    <w:nsid w:val="3A841D16"/>
    <w:multiLevelType w:val="hybridMultilevel"/>
    <w:tmpl w:val="1802812A"/>
    <w:lvl w:ilvl="0" w:tplc="A99EBE2E">
      <w:start w:val="1"/>
      <w:numFmt w:val="decimal"/>
      <w:lvlText w:val="%1."/>
      <w:lvlJc w:val="left"/>
      <w:pPr>
        <w:ind w:left="720" w:hanging="360"/>
      </w:pPr>
    </w:lvl>
    <w:lvl w:ilvl="1" w:tplc="604E1476">
      <w:start w:val="1"/>
      <w:numFmt w:val="lowerLetter"/>
      <w:lvlText w:val="%2."/>
      <w:lvlJc w:val="left"/>
      <w:pPr>
        <w:ind w:left="1440" w:hanging="360"/>
      </w:pPr>
    </w:lvl>
    <w:lvl w:ilvl="2" w:tplc="67C694BE">
      <w:numFmt w:val="decimal"/>
      <w:lvlText w:val=""/>
      <w:lvlJc w:val="left"/>
    </w:lvl>
    <w:lvl w:ilvl="3" w:tplc="A106CCA0">
      <w:numFmt w:val="decimal"/>
      <w:lvlText w:val=""/>
      <w:lvlJc w:val="left"/>
    </w:lvl>
    <w:lvl w:ilvl="4" w:tplc="8E3AAE08">
      <w:numFmt w:val="decimal"/>
      <w:lvlText w:val=""/>
      <w:lvlJc w:val="left"/>
    </w:lvl>
    <w:lvl w:ilvl="5" w:tplc="D330868A">
      <w:numFmt w:val="decimal"/>
      <w:lvlText w:val=""/>
      <w:lvlJc w:val="left"/>
    </w:lvl>
    <w:lvl w:ilvl="6" w:tplc="E7D0CB36">
      <w:numFmt w:val="decimal"/>
      <w:lvlText w:val=""/>
      <w:lvlJc w:val="left"/>
    </w:lvl>
    <w:lvl w:ilvl="7" w:tplc="60367F40">
      <w:numFmt w:val="decimal"/>
      <w:lvlText w:val=""/>
      <w:lvlJc w:val="left"/>
    </w:lvl>
    <w:lvl w:ilvl="8" w:tplc="1BD62BC0">
      <w:numFmt w:val="decimal"/>
      <w:lvlText w:val=""/>
      <w:lvlJc w:val="left"/>
    </w:lvl>
  </w:abstractNum>
  <w:abstractNum w:abstractNumId="9" w15:restartNumberingAfterBreak="0">
    <w:nsid w:val="450E5E27"/>
    <w:multiLevelType w:val="hybridMultilevel"/>
    <w:tmpl w:val="77C2B5C8"/>
    <w:lvl w:ilvl="0" w:tplc="2788FB10">
      <w:start w:val="1"/>
      <w:numFmt w:val="decimal"/>
      <w:lvlText w:val="%1."/>
      <w:lvlJc w:val="left"/>
      <w:pPr>
        <w:ind w:left="720" w:hanging="360"/>
      </w:pPr>
    </w:lvl>
    <w:lvl w:ilvl="1" w:tplc="27BEFA4E">
      <w:start w:val="1"/>
      <w:numFmt w:val="lowerLetter"/>
      <w:lvlText w:val="%2."/>
      <w:lvlJc w:val="left"/>
      <w:pPr>
        <w:ind w:left="1440" w:hanging="360"/>
      </w:pPr>
    </w:lvl>
    <w:lvl w:ilvl="2" w:tplc="0DD03306">
      <w:numFmt w:val="decimal"/>
      <w:lvlText w:val=""/>
      <w:lvlJc w:val="left"/>
    </w:lvl>
    <w:lvl w:ilvl="3" w:tplc="F0FEC01E">
      <w:numFmt w:val="decimal"/>
      <w:lvlText w:val=""/>
      <w:lvlJc w:val="left"/>
    </w:lvl>
    <w:lvl w:ilvl="4" w:tplc="B67AE6DC">
      <w:numFmt w:val="decimal"/>
      <w:lvlText w:val=""/>
      <w:lvlJc w:val="left"/>
    </w:lvl>
    <w:lvl w:ilvl="5" w:tplc="253E1EB2">
      <w:numFmt w:val="decimal"/>
      <w:lvlText w:val=""/>
      <w:lvlJc w:val="left"/>
    </w:lvl>
    <w:lvl w:ilvl="6" w:tplc="FA30AB62">
      <w:numFmt w:val="decimal"/>
      <w:lvlText w:val=""/>
      <w:lvlJc w:val="left"/>
    </w:lvl>
    <w:lvl w:ilvl="7" w:tplc="66EE4A98">
      <w:numFmt w:val="decimal"/>
      <w:lvlText w:val=""/>
      <w:lvlJc w:val="left"/>
    </w:lvl>
    <w:lvl w:ilvl="8" w:tplc="33F815E6">
      <w:numFmt w:val="decimal"/>
      <w:lvlText w:val=""/>
      <w:lvlJc w:val="left"/>
    </w:lvl>
  </w:abstractNum>
  <w:abstractNum w:abstractNumId="10" w15:restartNumberingAfterBreak="0">
    <w:nsid w:val="4BBA5821"/>
    <w:multiLevelType w:val="hybridMultilevel"/>
    <w:tmpl w:val="41FEFCCE"/>
    <w:lvl w:ilvl="0" w:tplc="24AE7322">
      <w:start w:val="1"/>
      <w:numFmt w:val="bullet"/>
      <w:lvlText w:val="•"/>
      <w:lvlJc w:val="left"/>
      <w:pPr>
        <w:ind w:left="720" w:hanging="360"/>
      </w:pPr>
    </w:lvl>
    <w:lvl w:ilvl="1" w:tplc="651415AE">
      <w:start w:val="1"/>
      <w:numFmt w:val="bullet"/>
      <w:lvlText w:val="◦"/>
      <w:lvlJc w:val="left"/>
      <w:pPr>
        <w:ind w:left="1440" w:hanging="360"/>
      </w:pPr>
    </w:lvl>
    <w:lvl w:ilvl="2" w:tplc="0392614E">
      <w:numFmt w:val="decimal"/>
      <w:lvlText w:val=""/>
      <w:lvlJc w:val="left"/>
    </w:lvl>
    <w:lvl w:ilvl="3" w:tplc="7F08D96A">
      <w:numFmt w:val="decimal"/>
      <w:lvlText w:val=""/>
      <w:lvlJc w:val="left"/>
    </w:lvl>
    <w:lvl w:ilvl="4" w:tplc="3BA6D78A">
      <w:numFmt w:val="decimal"/>
      <w:lvlText w:val=""/>
      <w:lvlJc w:val="left"/>
    </w:lvl>
    <w:lvl w:ilvl="5" w:tplc="62D4E092">
      <w:numFmt w:val="decimal"/>
      <w:lvlText w:val=""/>
      <w:lvlJc w:val="left"/>
    </w:lvl>
    <w:lvl w:ilvl="6" w:tplc="EE361216">
      <w:numFmt w:val="decimal"/>
      <w:lvlText w:val=""/>
      <w:lvlJc w:val="left"/>
    </w:lvl>
    <w:lvl w:ilvl="7" w:tplc="256E763A">
      <w:numFmt w:val="decimal"/>
      <w:lvlText w:val=""/>
      <w:lvlJc w:val="left"/>
    </w:lvl>
    <w:lvl w:ilvl="8" w:tplc="2BE8CF96">
      <w:numFmt w:val="decimal"/>
      <w:lvlText w:val=""/>
      <w:lvlJc w:val="left"/>
    </w:lvl>
  </w:abstractNum>
  <w:abstractNum w:abstractNumId="11" w15:restartNumberingAfterBreak="0">
    <w:nsid w:val="6CC7691F"/>
    <w:multiLevelType w:val="hybridMultilevel"/>
    <w:tmpl w:val="3C1C8960"/>
    <w:lvl w:ilvl="0" w:tplc="C8A4C3DE">
      <w:start w:val="1"/>
      <w:numFmt w:val="decimal"/>
      <w:lvlText w:val="%1."/>
      <w:lvlJc w:val="left"/>
      <w:pPr>
        <w:ind w:left="720" w:hanging="360"/>
      </w:pPr>
    </w:lvl>
    <w:lvl w:ilvl="1" w:tplc="9E746154">
      <w:start w:val="1"/>
      <w:numFmt w:val="lowerLetter"/>
      <w:lvlText w:val="%2."/>
      <w:lvlJc w:val="left"/>
      <w:pPr>
        <w:ind w:left="1440" w:hanging="360"/>
      </w:pPr>
    </w:lvl>
    <w:lvl w:ilvl="2" w:tplc="34B8D0F8">
      <w:numFmt w:val="decimal"/>
      <w:lvlText w:val=""/>
      <w:lvlJc w:val="left"/>
    </w:lvl>
    <w:lvl w:ilvl="3" w:tplc="4F087EF8">
      <w:numFmt w:val="decimal"/>
      <w:lvlText w:val=""/>
      <w:lvlJc w:val="left"/>
    </w:lvl>
    <w:lvl w:ilvl="4" w:tplc="752C8ACE">
      <w:numFmt w:val="decimal"/>
      <w:lvlText w:val=""/>
      <w:lvlJc w:val="left"/>
    </w:lvl>
    <w:lvl w:ilvl="5" w:tplc="A4D89C32">
      <w:numFmt w:val="decimal"/>
      <w:lvlText w:val=""/>
      <w:lvlJc w:val="left"/>
    </w:lvl>
    <w:lvl w:ilvl="6" w:tplc="96B40FE2">
      <w:numFmt w:val="decimal"/>
      <w:lvlText w:val=""/>
      <w:lvlJc w:val="left"/>
    </w:lvl>
    <w:lvl w:ilvl="7" w:tplc="A6F801AE">
      <w:numFmt w:val="decimal"/>
      <w:lvlText w:val=""/>
      <w:lvlJc w:val="left"/>
    </w:lvl>
    <w:lvl w:ilvl="8" w:tplc="C03A00D8">
      <w:numFmt w:val="decimal"/>
      <w:lvlText w:val=""/>
      <w:lvlJc w:val="left"/>
    </w:lvl>
  </w:abstractNum>
  <w:abstractNum w:abstractNumId="12" w15:restartNumberingAfterBreak="0">
    <w:nsid w:val="6E5C14E5"/>
    <w:multiLevelType w:val="hybridMultilevel"/>
    <w:tmpl w:val="B3FE905E"/>
    <w:lvl w:ilvl="0" w:tplc="F7AE52A8">
      <w:start w:val="1"/>
      <w:numFmt w:val="decimal"/>
      <w:lvlText w:val="%1."/>
      <w:lvlJc w:val="left"/>
      <w:pPr>
        <w:ind w:left="720" w:hanging="360"/>
      </w:pPr>
    </w:lvl>
    <w:lvl w:ilvl="1" w:tplc="5594952E">
      <w:start w:val="1"/>
      <w:numFmt w:val="lowerLetter"/>
      <w:lvlText w:val="%2."/>
      <w:lvlJc w:val="left"/>
      <w:pPr>
        <w:ind w:left="1440" w:hanging="360"/>
      </w:pPr>
    </w:lvl>
    <w:lvl w:ilvl="2" w:tplc="8E8ABEE4">
      <w:numFmt w:val="decimal"/>
      <w:lvlText w:val=""/>
      <w:lvlJc w:val="left"/>
    </w:lvl>
    <w:lvl w:ilvl="3" w:tplc="B3F2CA8A">
      <w:numFmt w:val="decimal"/>
      <w:lvlText w:val=""/>
      <w:lvlJc w:val="left"/>
    </w:lvl>
    <w:lvl w:ilvl="4" w:tplc="AD922F26">
      <w:numFmt w:val="decimal"/>
      <w:lvlText w:val=""/>
      <w:lvlJc w:val="left"/>
    </w:lvl>
    <w:lvl w:ilvl="5" w:tplc="1DD8348E">
      <w:numFmt w:val="decimal"/>
      <w:lvlText w:val=""/>
      <w:lvlJc w:val="left"/>
    </w:lvl>
    <w:lvl w:ilvl="6" w:tplc="BD5612BC">
      <w:numFmt w:val="decimal"/>
      <w:lvlText w:val=""/>
      <w:lvlJc w:val="left"/>
    </w:lvl>
    <w:lvl w:ilvl="7" w:tplc="1E8439DE">
      <w:numFmt w:val="decimal"/>
      <w:lvlText w:val=""/>
      <w:lvlJc w:val="left"/>
    </w:lvl>
    <w:lvl w:ilvl="8" w:tplc="63565CA8">
      <w:numFmt w:val="decimal"/>
      <w:lvlText w:val=""/>
      <w:lvlJc w:val="left"/>
    </w:lvl>
  </w:abstractNum>
  <w:abstractNum w:abstractNumId="13" w15:restartNumberingAfterBreak="0">
    <w:nsid w:val="7C6039E9"/>
    <w:multiLevelType w:val="hybridMultilevel"/>
    <w:tmpl w:val="BADC4070"/>
    <w:lvl w:ilvl="0" w:tplc="5F4C488E">
      <w:start w:val="1"/>
      <w:numFmt w:val="bullet"/>
      <w:lvlText w:val="●"/>
      <w:lvlJc w:val="left"/>
      <w:pPr>
        <w:ind w:left="720" w:hanging="360"/>
      </w:pPr>
    </w:lvl>
    <w:lvl w:ilvl="1" w:tplc="DFFC7A82">
      <w:start w:val="1"/>
      <w:numFmt w:val="bullet"/>
      <w:lvlText w:val="○"/>
      <w:lvlJc w:val="left"/>
      <w:pPr>
        <w:ind w:left="1440" w:hanging="360"/>
      </w:pPr>
    </w:lvl>
    <w:lvl w:ilvl="2" w:tplc="5BE4CCD4">
      <w:start w:val="1"/>
      <w:numFmt w:val="bullet"/>
      <w:lvlText w:val="■"/>
      <w:lvlJc w:val="left"/>
      <w:pPr>
        <w:ind w:left="2160" w:hanging="360"/>
      </w:pPr>
    </w:lvl>
    <w:lvl w:ilvl="3" w:tplc="6E94A384">
      <w:start w:val="1"/>
      <w:numFmt w:val="bullet"/>
      <w:lvlText w:val="●"/>
      <w:lvlJc w:val="left"/>
      <w:pPr>
        <w:ind w:left="2880" w:hanging="360"/>
      </w:pPr>
    </w:lvl>
    <w:lvl w:ilvl="4" w:tplc="69DE06B2">
      <w:start w:val="1"/>
      <w:numFmt w:val="bullet"/>
      <w:lvlText w:val="○"/>
      <w:lvlJc w:val="left"/>
      <w:pPr>
        <w:ind w:left="3600" w:hanging="360"/>
      </w:pPr>
    </w:lvl>
    <w:lvl w:ilvl="5" w:tplc="3C643D0A">
      <w:start w:val="1"/>
      <w:numFmt w:val="bullet"/>
      <w:lvlText w:val="■"/>
      <w:lvlJc w:val="left"/>
      <w:pPr>
        <w:ind w:left="4320" w:hanging="360"/>
      </w:pPr>
    </w:lvl>
    <w:lvl w:ilvl="6" w:tplc="2B2E1166">
      <w:start w:val="1"/>
      <w:numFmt w:val="bullet"/>
      <w:lvlText w:val="●"/>
      <w:lvlJc w:val="left"/>
      <w:pPr>
        <w:ind w:left="5040" w:hanging="360"/>
      </w:pPr>
    </w:lvl>
    <w:lvl w:ilvl="7" w:tplc="C182248E">
      <w:start w:val="1"/>
      <w:numFmt w:val="bullet"/>
      <w:lvlText w:val="●"/>
      <w:lvlJc w:val="left"/>
      <w:pPr>
        <w:ind w:left="5760" w:hanging="360"/>
      </w:pPr>
    </w:lvl>
    <w:lvl w:ilvl="8" w:tplc="CD5CDEF2">
      <w:start w:val="1"/>
      <w:numFmt w:val="bullet"/>
      <w:lvlText w:val="●"/>
      <w:lvlJc w:val="left"/>
      <w:pPr>
        <w:ind w:left="6480" w:hanging="360"/>
      </w:pPr>
    </w:lvl>
  </w:abstractNum>
  <w:num w:numId="1" w16cid:durableId="967979263">
    <w:abstractNumId w:val="13"/>
    <w:lvlOverride w:ilvl="0">
      <w:startOverride w:val="1"/>
    </w:lvlOverride>
  </w:num>
  <w:num w:numId="2" w16cid:durableId="1161392472">
    <w:abstractNumId w:val="10"/>
    <w:lvlOverride w:ilvl="0">
      <w:startOverride w:val="1"/>
    </w:lvlOverride>
  </w:num>
  <w:num w:numId="3" w16cid:durableId="1054158732">
    <w:abstractNumId w:val="9"/>
    <w:lvlOverride w:ilvl="0">
      <w:startOverride w:val="1"/>
    </w:lvlOverride>
  </w:num>
  <w:num w:numId="4" w16cid:durableId="1660771835">
    <w:abstractNumId w:val="0"/>
    <w:lvlOverride w:ilvl="0">
      <w:startOverride w:val="1"/>
    </w:lvlOverride>
  </w:num>
  <w:num w:numId="5" w16cid:durableId="15656009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9A0"/>
    <w:rsid w:val="00157831"/>
    <w:rsid w:val="001A5ECF"/>
    <w:rsid w:val="001B0800"/>
    <w:rsid w:val="00490B59"/>
    <w:rsid w:val="007129A0"/>
    <w:rsid w:val="007B02CE"/>
    <w:rsid w:val="008F618D"/>
    <w:rsid w:val="00950110"/>
    <w:rsid w:val="00B511C2"/>
    <w:rsid w:val="00BD62CE"/>
    <w:rsid w:val="00DB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FE9ED"/>
  <w15:docId w15:val="{995FC5C3-B4CE-164F-B359-2F08CEEB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color w:val="595959"/>
    </w:rPr>
  </w:style>
  <w:style w:type="character" w:styleId="Strong">
    <w:name w:val="Strong"/>
    <w:basedOn w:val="DefaultParagraphFont"/>
    <w:uiPriority w:val="22"/>
    <w:qFormat/>
    <w:rsid w:val="00BD6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0YxQhQggkSrlDcehCKKByeCZe03XJuVL/edit?gid=482161877" TargetMode="External"/><Relationship Id="rId3" Type="http://schemas.openxmlformats.org/officeDocument/2006/relationships/settings" Target="settings.xml"/><Relationship Id="rId7" Type="http://schemas.openxmlformats.org/officeDocument/2006/relationships/hyperlink" Target="https://docs.google.com/spreadsheets/d/1_BYrNaraBGJlpunlwXWOwsZPE4y3n-vGH0IDKFVAzjg/edit?gid=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xpCrQkJ44TJjEZhRwCCyRTBvn9Lc1QO58NfVVp0zKs0/edit" TargetMode="External"/><Relationship Id="rId11" Type="http://schemas.openxmlformats.org/officeDocument/2006/relationships/fontTable" Target="fontTable.xml"/><Relationship Id="rId5" Type="http://schemas.openxmlformats.org/officeDocument/2006/relationships/hyperlink" Target="https://docs.google.com/spreadsheets/d/1_BYrNaraBGJlpunlwXWOwsZPE4y3n-vGH0IDKFVAzjg/edit?gid=0" TargetMode="External"/><Relationship Id="rId10" Type="http://schemas.openxmlformats.org/officeDocument/2006/relationships/hyperlink" Target="https://registry.isometric.com/module/ghg-accounting/1.1" TargetMode="External"/><Relationship Id="rId4" Type="http://schemas.openxmlformats.org/officeDocument/2006/relationships/webSettings" Target="webSettings.xml"/><Relationship Id="rId9" Type="http://schemas.openxmlformats.org/officeDocument/2006/relationships/hyperlink" Target="https://drive.google.com/drive/folders/1oTkOC5UKsTDYvpT9Ck12ek-fSAkDXw0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5</cp:revision>
  <dcterms:created xsi:type="dcterms:W3CDTF">2026-04-28T23:03:00Z</dcterms:created>
  <dcterms:modified xsi:type="dcterms:W3CDTF">2026-04-29T15:56:00Z</dcterms:modified>
</cp:coreProperties>
</file>