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5C977" w14:textId="77777777" w:rsidR="00F3657B" w:rsidRDefault="00000000">
      <w:pPr>
        <w:spacing w:after="80"/>
      </w:pPr>
      <w:r>
        <w:rPr>
          <w:b/>
          <w:color w:val="1F497D"/>
          <w:sz w:val="30"/>
        </w:rPr>
        <w:t>Guidance Request — Provisional Application of Substitution Method During Kiln Agreement Execution</w:t>
      </w:r>
    </w:p>
    <w:p w14:paraId="5DFEBB7C" w14:textId="77777777" w:rsidR="00F3657B" w:rsidRDefault="00000000">
      <w:pPr>
        <w:spacing w:after="40"/>
      </w:pPr>
      <w:r>
        <w:rPr>
          <w:i/>
          <w:color w:val="404040"/>
        </w:rPr>
        <w:t>Re: GHG Accounting Module Section 6.1 — Co-product Emissions Allocation</w:t>
      </w:r>
    </w:p>
    <w:p w14:paraId="106B7B69" w14:textId="77777777" w:rsidR="00F3657B" w:rsidRDefault="00000000">
      <w:pPr>
        <w:spacing w:after="40"/>
      </w:pPr>
      <w:r>
        <w:rPr>
          <w:color w:val="606060"/>
          <w:sz w:val="20"/>
        </w:rPr>
        <w:t>Charm Industrial  ·  May 29, 2026  ·  Author: Max Lavine  ·  max@charmindustrial.com</w:t>
      </w:r>
    </w:p>
    <w:p w14:paraId="066A2C30" w14:textId="77777777" w:rsidR="00F3657B" w:rsidRDefault="00F3657B">
      <w:pPr>
        <w:pBdr>
          <w:bottom w:val="single" w:sz="6" w:space="1" w:color="AAAAAA"/>
        </w:pBdr>
        <w:spacing w:after="160"/>
      </w:pPr>
    </w:p>
    <w:p w14:paraId="322DD407" w14:textId="77777777" w:rsidR="00F3657B" w:rsidRDefault="00000000">
      <w:pPr>
        <w:spacing w:before="320" w:after="80"/>
      </w:pPr>
      <w:r>
        <w:rPr>
          <w:b/>
          <w:color w:val="1F497D"/>
          <w:sz w:val="26"/>
        </w:rPr>
        <w:t>1. Purpose</w:t>
      </w:r>
    </w:p>
    <w:p w14:paraId="232BD8ED" w14:textId="77777777" w:rsidR="00F3657B" w:rsidRDefault="00000000">
      <w:pPr>
        <w:spacing w:before="80" w:after="160"/>
      </w:pPr>
      <w:r>
        <w:t>Charm requests written confirmation that the predict-and-adjust framework aligned on March 31, 2026 may be applied at Production Period close for biochar directed to the GCC cement kiln pilot before the kiln agreement and affidavit are executed, subject to the backstop commitment described in Section 3.</w:t>
      </w:r>
    </w:p>
    <w:p w14:paraId="642DC168" w14:textId="77777777" w:rsidR="00F3657B" w:rsidRDefault="00000000">
      <w:pPr>
        <w:spacing w:after="120"/>
      </w:pPr>
      <w:r>
        <w:t>This request accompanies the Biochar Cement Kiln Gap Analysis circulated with this package.</w:t>
      </w:r>
    </w:p>
    <w:p w14:paraId="4A618D4B" w14:textId="77777777" w:rsidR="00F3657B" w:rsidRDefault="00000000">
      <w:pPr>
        <w:spacing w:before="320" w:after="80"/>
      </w:pPr>
      <w:r>
        <w:rPr>
          <w:b/>
          <w:color w:val="1F497D"/>
          <w:sz w:val="26"/>
        </w:rPr>
        <w:t>2. Operational Context</w:t>
      </w:r>
    </w:p>
    <w:p w14:paraId="1B766046" w14:textId="085C8D2D" w:rsidR="00F3657B" w:rsidRDefault="00000000">
      <w:pPr>
        <w:spacing w:before="80" w:after="160"/>
      </w:pPr>
      <w:r>
        <w:t xml:space="preserve">Under the agreed framework, Charm declares each biochar </w:t>
      </w:r>
      <w:r w:rsidR="004925E6">
        <w:t>container’s</w:t>
      </w:r>
      <w:r>
        <w:t xml:space="preserve"> fate at Production Period (PP) close</w:t>
      </w:r>
      <w:r w:rsidR="004925E6">
        <w:t xml:space="preserve"> (supersacks are the container in this case)</w:t>
      </w:r>
      <w:r>
        <w:t xml:space="preserve">, applies the matching allocation procedure — the substitution method </w:t>
      </w:r>
      <w:r w:rsidR="00612FF0">
        <w:t>for char designated for fuel substitution</w:t>
      </w:r>
      <w:r>
        <w:t xml:space="preserve"> or the carbon mass balance method </w:t>
      </w:r>
      <w:r w:rsidR="00612FF0">
        <w:t>for char designated for CDR</w:t>
      </w:r>
      <w:r>
        <w:t>— and locks the PP bio-oil carbon intensity. That carbon intensity travels with the bio-oil through downstream handling and is realized at injection. Closing a PP is a prerequisite to crediting bio-oil from that period.</w:t>
      </w:r>
    </w:p>
    <w:p w14:paraId="275811BB" w14:textId="4459E7AA" w:rsidR="00F3657B" w:rsidRDefault="00000000">
      <w:pPr>
        <w:spacing w:after="120"/>
      </w:pPr>
      <w:r>
        <w:t>GCC has confirmed engagement and intent to proceed with the pilot. Their legal review process</w:t>
      </w:r>
      <w:r w:rsidR="00851398">
        <w:t>, however, is slow, and</w:t>
      </w:r>
      <w:r>
        <w:t xml:space="preserve"> has extended beyond the schedule required to align PP close with agreement execution. Charm needs to close 2026 production periods and inject the resulting bio-oil on a timeline that does not wait for a signature.</w:t>
      </w:r>
    </w:p>
    <w:p w14:paraId="78AD0487" w14:textId="77777777" w:rsidR="00F3657B" w:rsidRDefault="00000000">
      <w:pPr>
        <w:spacing w:before="320" w:after="80"/>
      </w:pPr>
      <w:r>
        <w:rPr>
          <w:b/>
          <w:color w:val="1F497D"/>
          <w:sz w:val="26"/>
        </w:rPr>
        <w:t>3. Proposed Treatment and Backstop</w:t>
      </w:r>
    </w:p>
    <w:p w14:paraId="2093A7D4" w14:textId="77777777" w:rsidR="00F3657B" w:rsidRDefault="00000000">
      <w:pPr>
        <w:spacing w:before="80" w:after="160"/>
      </w:pPr>
      <w:r>
        <w:t>Charm proposes applying Procedure 3 at PP close for biochar supersacks declared to the GCC kiln, recording declared fate, the applied allocation procedure, and the 12-month confirmation window opening date per supersack in the batch tracking system — identical to standard predict-and-adjust operation.</w:t>
      </w:r>
    </w:p>
    <w:p w14:paraId="5B9A425C" w14:textId="77777777" w:rsidR="00F3657B" w:rsidRDefault="00000000">
      <w:pPr>
        <w:spacing w:after="120"/>
      </w:pPr>
      <w:r>
        <w:t>The executed kiln agreement and affidavit are treated as confirmation-class evidence subject to the 12-month window.</w:t>
      </w:r>
    </w:p>
    <w:p w14:paraId="47F0B52A" w14:textId="77777777" w:rsidR="007813D1" w:rsidRDefault="00000000">
      <w:r>
        <w:t>Two backstop scenarios apply if the GCC pilot does not proceed as declared.</w:t>
      </w:r>
    </w:p>
    <w:p w14:paraId="7862DBC1" w14:textId="77777777" w:rsidR="007813D1" w:rsidRDefault="00000000">
      <w:r>
        <w:t>If char is delivered to the kiln but substitution performance falls short of the projected rate, the delta between projected and actual substitution is booked as a site emission against the next bio-oil reporting period.</w:t>
      </w:r>
    </w:p>
    <w:p w14:paraId="0395709B" w14:textId="77777777" w:rsidR="007813D1" w:rsidRDefault="00000000">
      <w:r>
        <w:lastRenderedPageBreak/>
        <w:t>If char is not delivered to the kiln and is redirected to CDR instead, Charm recomputes Production Period emissions using carbon mass balance and applies an emissions penalty equal to (mass of PP oil credited) × (CI₂ − CI₁) — where CI₁ is the bio-oil carbon intensity computed under the substitution method and CI₂ is the carbon intensity computed under mass balance — to the subsequent bio-oil reporting period. Bio-oil from the affected Production Period that has not yet been credited is reported and credited using CI₂.</w:t>
      </w:r>
    </w:p>
    <w:p w14:paraId="170D9698" w14:textId="77777777" w:rsidR="007813D1" w:rsidRDefault="00000000">
      <w:r>
        <w:t>No past reporting periods are reopened under either scenario.</w:t>
      </w:r>
    </w:p>
    <w:p w14:paraId="7F57061A" w14:textId="77777777" w:rsidR="00F3657B" w:rsidRDefault="00000000">
      <w:pPr>
        <w:spacing w:before="320" w:after="80"/>
      </w:pPr>
      <w:r>
        <w:rPr>
          <w:b/>
          <w:color w:val="1F497D"/>
          <w:sz w:val="26"/>
        </w:rPr>
        <w:t>4. Requested Confirmation</w:t>
      </w:r>
    </w:p>
    <w:p w14:paraId="48921F30" w14:textId="77777777" w:rsidR="00F3657B" w:rsidRDefault="00000000">
      <w:pPr>
        <w:spacing w:before="80" w:after="80"/>
      </w:pPr>
      <w:r>
        <w:t>Charm requests written confirmation that:</w:t>
      </w:r>
    </w:p>
    <w:p w14:paraId="28C34523" w14:textId="0B2C8208" w:rsidR="00F3657B" w:rsidRDefault="00000000">
      <w:pPr>
        <w:spacing w:before="40" w:after="120"/>
        <w:ind w:left="432"/>
      </w:pPr>
      <w:r>
        <w:rPr>
          <w:b/>
        </w:rPr>
        <w:t xml:space="preserve">(a)  </w:t>
      </w:r>
      <w:r w:rsidR="00805FA1">
        <w:t>Substitution</w:t>
      </w:r>
      <w:r>
        <w:t xml:space="preserve"> may be applied at PP close for supersacks declared to the GCC kiln in advance of the executed kiln agreement and affidavit, subject to the 12-month window backstop described in Section 3.</w:t>
      </w:r>
    </w:p>
    <w:p w14:paraId="66401B3E" w14:textId="7316450D" w:rsidR="00F3657B" w:rsidRDefault="00000000">
      <w:pPr>
        <w:spacing w:before="40" w:after="120"/>
        <w:ind w:left="432"/>
      </w:pPr>
      <w:r>
        <w:rPr>
          <w:b/>
        </w:rPr>
        <w:t xml:space="preserve">(b)  </w:t>
      </w:r>
      <w:r>
        <w:t xml:space="preserve">if the agreement is not executed before the 12-month window closes for any declared supersack, </w:t>
      </w:r>
      <w:r w:rsidR="00805FA1">
        <w:t>the applicable backstop described above will be applied.</w:t>
      </w:r>
    </w:p>
    <w:p w14:paraId="4461F6F6" w14:textId="77777777" w:rsidR="00F3657B" w:rsidRDefault="00F3657B">
      <w:pPr>
        <w:pBdr>
          <w:bottom w:val="single" w:sz="6" w:space="1" w:color="AAAAAA"/>
        </w:pBdr>
        <w:spacing w:after="160"/>
      </w:pPr>
    </w:p>
    <w:p w14:paraId="7D4C023F" w14:textId="77777777" w:rsidR="00F3657B" w:rsidRDefault="00000000">
      <w:pPr>
        <w:spacing w:before="40" w:after="0"/>
      </w:pPr>
      <w:r>
        <w:rPr>
          <w:i/>
          <w:color w:val="606060"/>
          <w:sz w:val="20"/>
        </w:rPr>
        <w:t>Prepared by: Max Lavine, Charm Industrial  ·  max@charmindustrial.com</w:t>
      </w:r>
    </w:p>
    <w:sectPr w:rsidR="00F365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100300">
    <w:abstractNumId w:val="8"/>
  </w:num>
  <w:num w:numId="2" w16cid:durableId="1193687661">
    <w:abstractNumId w:val="6"/>
  </w:num>
  <w:num w:numId="3" w16cid:durableId="1770657933">
    <w:abstractNumId w:val="5"/>
  </w:num>
  <w:num w:numId="4" w16cid:durableId="550187374">
    <w:abstractNumId w:val="4"/>
  </w:num>
  <w:num w:numId="5" w16cid:durableId="1054423753">
    <w:abstractNumId w:val="7"/>
  </w:num>
  <w:num w:numId="6" w16cid:durableId="1980450090">
    <w:abstractNumId w:val="3"/>
  </w:num>
  <w:num w:numId="7" w16cid:durableId="1835493062">
    <w:abstractNumId w:val="2"/>
  </w:num>
  <w:num w:numId="8" w16cid:durableId="704990705">
    <w:abstractNumId w:val="1"/>
  </w:num>
  <w:num w:numId="9" w16cid:durableId="467356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5E6"/>
    <w:rsid w:val="00612FF0"/>
    <w:rsid w:val="007813D1"/>
    <w:rsid w:val="00805FA1"/>
    <w:rsid w:val="00851398"/>
    <w:rsid w:val="00AA1D8D"/>
    <w:rsid w:val="00B47361"/>
    <w:rsid w:val="00B47730"/>
    <w:rsid w:val="00CB0664"/>
    <w:rsid w:val="00F365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B8381"/>
  <w14:defaultImageDpi w14:val="300"/>
  <w15:docId w15:val="{00CE9C76-7A82-F74B-BB67-EA023505E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5</cp:revision>
  <dcterms:created xsi:type="dcterms:W3CDTF">2013-12-23T23:15:00Z</dcterms:created>
  <dcterms:modified xsi:type="dcterms:W3CDTF">2026-06-03T20:00:00Z</dcterms:modified>
  <cp:category/>
</cp:coreProperties>
</file>