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5937EB" w14:textId="77777777" w:rsidR="00117D30" w:rsidRDefault="00117D30">
      <w:r>
        <w:t xml:space="preserve">Biochar </w:t>
      </w:r>
      <w:proofErr w:type="spellStart"/>
      <w:r>
        <w:t>Offtaker</w:t>
      </w:r>
      <w:proofErr w:type="spellEnd"/>
      <w:r>
        <w:t xml:space="preserve"> Agreement — Clauses to Add for BSSE v1.2 Compliance</w:t>
      </w:r>
    </w:p>
    <w:p w14:paraId="70C32B4D" w14:textId="77777777" w:rsidR="00117D30" w:rsidRDefault="00117D30"/>
    <w:p w14:paraId="0A612F9F" w14:textId="77777777" w:rsidR="00117D30" w:rsidRDefault="00117D30">
      <w:r>
        <w:t>Drafted for Katie's review and redlines. Owner: Katie Holligan, in collab with MRV.</w:t>
      </w:r>
    </w:p>
    <w:p w14:paraId="4D6CA9F9" w14:textId="77777777" w:rsidR="00117D30" w:rsidRDefault="00117D30"/>
    <w:p w14:paraId="5CC18CAC" w14:textId="77777777" w:rsidR="00117D30" w:rsidRDefault="00117D30">
      <w:r>
        <w:t>PURPOSE</w:t>
      </w:r>
    </w:p>
    <w:p w14:paraId="083E8CD0" w14:textId="77777777" w:rsidR="00117D30" w:rsidRDefault="00117D30">
      <w:r>
        <w:t xml:space="preserve">This package lists the clauses Charm needs to add to its existing biochar </w:t>
      </w:r>
      <w:proofErr w:type="spellStart"/>
      <w:r>
        <w:t>offtaker</w:t>
      </w:r>
      <w:proofErr w:type="spellEnd"/>
      <w:r>
        <w:t xml:space="preserve"> agreement so that every signed agreement carries the evidence we owe under Biochar Storage in Soil Environments v1.2 §8.5.2 (direct-to-soil application) and §8.7.1 (sales to third-party composters).</w:t>
      </w:r>
    </w:p>
    <w:p w14:paraId="62ACB15F" w14:textId="77777777" w:rsidR="00117D30" w:rsidRDefault="00117D30"/>
    <w:p w14:paraId="161D70FE" w14:textId="77777777" w:rsidR="00117D30" w:rsidRDefault="00117D30">
      <w:r>
        <w:t xml:space="preserve">Approach: existing agreement stays the spine. These clauses get inserted as additive provisions. Same document, one signature, no separate affidavit. Where a clause applies only to one </w:t>
      </w:r>
      <w:proofErr w:type="spellStart"/>
      <w:r>
        <w:t>offtaker</w:t>
      </w:r>
      <w:proofErr w:type="spellEnd"/>
      <w:r>
        <w:t xml:space="preserve"> type (composter vs. direct-to-soil applicator), it's noted.</w:t>
      </w:r>
    </w:p>
    <w:p w14:paraId="02846DD5" w14:textId="77777777" w:rsidR="00117D30" w:rsidRDefault="00117D30"/>
    <w:p w14:paraId="2D7648A4" w14:textId="77777777" w:rsidR="00117D30" w:rsidRDefault="00117D30">
      <w:r>
        <w:t>For each clause below: the suggested text is in the first column; the BSSE v1.2 requirement it satisfies is in the second; notes for Katie are in the third.</w:t>
      </w:r>
    </w:p>
    <w:p w14:paraId="2DCD8144" w14:textId="77777777" w:rsidR="00117D30" w:rsidRDefault="00117D30"/>
    <w:p w14:paraId="3FE4D556" w14:textId="77777777" w:rsidR="00117D30" w:rsidRDefault="00117D30">
      <w:r>
        <w:t>CLAUSE 1 — INTENDED END USE</w:t>
      </w:r>
    </w:p>
    <w:p w14:paraId="48D91098" w14:textId="77777777" w:rsidR="00117D30" w:rsidRDefault="00117D30">
      <w:r>
        <w:t>Suggested text:</w:t>
      </w:r>
    </w:p>
    <w:p w14:paraId="4A5E7494" w14:textId="77777777" w:rsidR="00117D30" w:rsidRDefault="00117D30">
      <w:r>
        <w:t>"Buyer represents and warrants that the Biochar will be used solely for [direct application to agricultural or amenity soils] / [incorporation into a compost or soil amendment product destined for agricultural land application] / [other carbon-sequestering use as agreed in writing]. Buyer will not use the Biochar, or permit it to be used, as a fuel or for any combustion purpose."</w:t>
      </w:r>
    </w:p>
    <w:p w14:paraId="24AB380B" w14:textId="77777777" w:rsidR="00117D30" w:rsidRDefault="00117D30"/>
    <w:p w14:paraId="5791D583" w14:textId="77777777" w:rsidR="00117D30" w:rsidRDefault="00117D30">
      <w:r>
        <w:t>Satisfies: §8.7.1 (affidavit — explicit intended use); §8.5.2 (boundary mapping — confirms storage pathway)</w:t>
      </w:r>
    </w:p>
    <w:p w14:paraId="10B8E26D" w14:textId="77777777" w:rsidR="00117D30" w:rsidRDefault="00117D30"/>
    <w:p w14:paraId="1FD32F4A" w14:textId="77777777" w:rsidR="00117D30" w:rsidRDefault="00117D30">
      <w:r>
        <w:t>Notes for Katie:</w:t>
      </w:r>
    </w:p>
    <w:p w14:paraId="03C9EC80" w14:textId="77777777" w:rsidR="00117D30" w:rsidRDefault="00117D30">
      <w:r>
        <w:lastRenderedPageBreak/>
        <w:t>- Three brackets: pick one at signing.</w:t>
      </w:r>
    </w:p>
    <w:p w14:paraId="748289F8" w14:textId="77777777" w:rsidR="00117D30" w:rsidRDefault="00117D30">
      <w:r>
        <w:t>- Final clause (no fuel use) is critical — it's the reversal-risk anchor for Isometric.</w:t>
      </w:r>
    </w:p>
    <w:p w14:paraId="4EF3D406" w14:textId="77777777" w:rsidR="00117D30" w:rsidRDefault="00117D30"/>
    <w:p w14:paraId="7B19B76D" w14:textId="77777777" w:rsidR="00117D30" w:rsidRDefault="00117D30">
      <w:r>
        <w:t>CLAUSE 2 — APPLICATION LOCATION</w:t>
      </w:r>
    </w:p>
    <w:p w14:paraId="249EDB38" w14:textId="77777777" w:rsidR="00117D30" w:rsidRDefault="00117D30">
      <w:r>
        <w:t>Suggested text:</w:t>
      </w:r>
    </w:p>
    <w:p w14:paraId="7D4CA82A" w14:textId="77777777" w:rsidR="00117D30" w:rsidRDefault="00117D30">
      <w:r>
        <w:t>"Buyer will provide Charm, prior to or at the time of delivery, the street address and/or GPS coordinates of each location at which the Biochar will be applied or stored ('Application Location'). Buyer will not apply the Biochar outside of the Application Location(s) provided to Charm without prior written notice to Charm."</w:t>
      </w:r>
    </w:p>
    <w:p w14:paraId="00DC55A3" w14:textId="77777777" w:rsidR="00117D30" w:rsidRDefault="00117D30"/>
    <w:p w14:paraId="1FCE03CA" w14:textId="77777777" w:rsidR="00117D30" w:rsidRDefault="00117D30">
      <w:r>
        <w:t>Satisfies: §8.5.2 (project boundary mapping with application records); §8.7.1 (max geographical boundaries or specific locations)</w:t>
      </w:r>
    </w:p>
    <w:p w14:paraId="3D74315A" w14:textId="77777777" w:rsidR="00117D30" w:rsidRDefault="00117D30"/>
    <w:p w14:paraId="2D962E4A" w14:textId="77777777" w:rsidR="00117D30" w:rsidRDefault="00117D30">
      <w:r>
        <w:t>Notes for Katie:</w:t>
      </w:r>
    </w:p>
    <w:p w14:paraId="757A8DEB" w14:textId="77777777" w:rsidR="00117D30" w:rsidRDefault="00117D30">
      <w:r>
        <w:t>- Street address OR GPS — either works. ZIP-level only acceptable if landowner requests anonymity.</w:t>
      </w:r>
    </w:p>
    <w:p w14:paraId="79A363AF" w14:textId="77777777" w:rsidR="00117D30" w:rsidRDefault="00117D30">
      <w:r>
        <w:t>- "Prior to or at the time of delivery" gives flexibility; we don't always know the field at signing.</w:t>
      </w:r>
    </w:p>
    <w:p w14:paraId="0C341F66" w14:textId="77777777" w:rsidR="00117D30" w:rsidRDefault="00117D30"/>
    <w:p w14:paraId="46A5320B" w14:textId="77777777" w:rsidR="00117D30" w:rsidRDefault="00117D30">
      <w:r>
        <w:t>CLAUSE 3 — APPLICATION DATE</w:t>
      </w:r>
    </w:p>
    <w:p w14:paraId="4A7DAD5B" w14:textId="77777777" w:rsidR="00117D30" w:rsidRDefault="00117D30">
      <w:r>
        <w:t>Suggested text:</w:t>
      </w:r>
    </w:p>
    <w:p w14:paraId="52706256" w14:textId="77777777" w:rsidR="00117D30" w:rsidRDefault="00117D30">
      <w:r>
        <w:t>"Buyer will provide Charm with the application date, or a date range within which application will occur, for each delivery of Biochar. Where the actual application date is not known at the time of signing, Buyer will provide the actual date in writing within thirty (30) days of application."</w:t>
      </w:r>
    </w:p>
    <w:p w14:paraId="3C7954C2" w14:textId="77777777" w:rsidR="00117D30" w:rsidRDefault="00117D30"/>
    <w:p w14:paraId="15B57650" w14:textId="77777777" w:rsidR="00117D30" w:rsidRDefault="00117D30">
      <w:r>
        <w:t>Satisfies: §8.5.2 (application records — dates and quantities)</w:t>
      </w:r>
    </w:p>
    <w:p w14:paraId="6D889AC0" w14:textId="77777777" w:rsidR="00117D30" w:rsidRDefault="00117D30"/>
    <w:p w14:paraId="2CA5A0BA" w14:textId="77777777" w:rsidR="00117D30" w:rsidRDefault="00117D30">
      <w:r>
        <w:t>Notes for Katie:</w:t>
      </w:r>
    </w:p>
    <w:p w14:paraId="6913C57A" w14:textId="77777777" w:rsidR="00117D30" w:rsidRDefault="00117D30">
      <w:r>
        <w:lastRenderedPageBreak/>
        <w:t>- Date range is fine for forward planning; the back-fill commitment closes the loop after the fact.</w:t>
      </w:r>
    </w:p>
    <w:p w14:paraId="368BC538" w14:textId="77777777" w:rsidR="00117D30" w:rsidRDefault="00117D30">
      <w:r>
        <w:t>- Brenner back-fill — actual application dates need to be retrieved through your grower contact and confirmed via a written attestation.</w:t>
      </w:r>
    </w:p>
    <w:p w14:paraId="2B19BE67" w14:textId="77777777" w:rsidR="00117D30" w:rsidRDefault="00117D30"/>
    <w:p w14:paraId="15AA2CB8" w14:textId="77777777" w:rsidR="00117D30" w:rsidRDefault="00117D30">
      <w:r>
        <w:t>CLAUSE 4 — APPLICATION QUANTITY AND ACREAGE</w:t>
      </w:r>
    </w:p>
    <w:p w14:paraId="3C824445" w14:textId="77777777" w:rsidR="00117D30" w:rsidRDefault="00117D30">
      <w:r>
        <w:t>Suggested text:</w:t>
      </w:r>
    </w:p>
    <w:p w14:paraId="6C81D219" w14:textId="77777777" w:rsidR="00117D30" w:rsidRDefault="00117D30">
      <w:r>
        <w:t>"Buyer will provide Charm with the estimated acreage over which each delivery of Biochar will be applied, sufficient to allow calculation of an application rate that does not exceed the maximum loading rate established by the relevant jurisdiction."</w:t>
      </w:r>
    </w:p>
    <w:p w14:paraId="4B65EA6A" w14:textId="77777777" w:rsidR="00117D30" w:rsidRDefault="00117D30"/>
    <w:p w14:paraId="1FDEBC8D" w14:textId="77777777" w:rsidR="00117D30" w:rsidRDefault="00117D30">
      <w:r>
        <w:t>Satisfies: §8.5.2 (application records — quantities applied, application rate calculation)</w:t>
      </w:r>
    </w:p>
    <w:p w14:paraId="3EF4311C" w14:textId="77777777" w:rsidR="00117D30" w:rsidRDefault="00117D30"/>
    <w:p w14:paraId="390CC861" w14:textId="77777777" w:rsidR="00117D30" w:rsidRDefault="00117D30">
      <w:r>
        <w:t>Notes for Katie:</w:t>
      </w:r>
    </w:p>
    <w:p w14:paraId="3A6FF679" w14:textId="77777777" w:rsidR="00117D30" w:rsidRDefault="00117D30">
      <w:r>
        <w:t>- "Estimated" is intentional — we can compute application rate from delivered mass / estimated acreage.</w:t>
      </w:r>
    </w:p>
    <w:p w14:paraId="744F5380" w14:textId="77777777" w:rsidR="00117D30" w:rsidRDefault="00117D30">
      <w:r>
        <w:t>- We don't need to bind the buyer to a specific rate, just a defensible estimate.</w:t>
      </w:r>
    </w:p>
    <w:p w14:paraId="224343A6" w14:textId="77777777" w:rsidR="00117D30" w:rsidRDefault="00117D30"/>
    <w:p w14:paraId="0986EB3C" w14:textId="77777777" w:rsidR="00117D30" w:rsidRDefault="00117D30">
      <w:r>
        <w:t>CLAUSE 5 — ACTIVE OPERATION ATTESTATION</w:t>
      </w:r>
    </w:p>
    <w:p w14:paraId="17FB0B8E" w14:textId="77777777" w:rsidR="00117D30" w:rsidRDefault="00117D30">
      <w:r>
        <w:t>Suggested text:</w:t>
      </w:r>
    </w:p>
    <w:p w14:paraId="14F70741" w14:textId="77777777" w:rsidR="00117D30" w:rsidRDefault="00117D30">
      <w:r>
        <w:t>"Buyer represents and warrants that it has been an active agricultural, composting, or adjacent operation for not less than three (3) years prior to the date of this Agreement. Upon Charm's request, Buyer will provide reasonable supporting evidence (e.g., business registration, operating permit, or equivalent documentation)."</w:t>
      </w:r>
    </w:p>
    <w:p w14:paraId="63DDF2B9" w14:textId="77777777" w:rsidR="00117D30" w:rsidRDefault="00117D30"/>
    <w:p w14:paraId="54B58031" w14:textId="77777777" w:rsidR="00117D30" w:rsidRDefault="00117D30">
      <w:r>
        <w:t>Satisfies: §8.7.1 (≥3 years of evidence the company is an active agricultural or adjacent operation)</w:t>
      </w:r>
    </w:p>
    <w:p w14:paraId="5203C199" w14:textId="77777777" w:rsidR="00117D30" w:rsidRDefault="00117D30"/>
    <w:p w14:paraId="7526F6B3" w14:textId="77777777" w:rsidR="00117D30" w:rsidRDefault="00117D30">
      <w:r>
        <w:t>Notes for Katie:</w:t>
      </w:r>
    </w:p>
    <w:p w14:paraId="72D33559" w14:textId="77777777" w:rsidR="00117D30" w:rsidRDefault="00117D30">
      <w:r>
        <w:lastRenderedPageBreak/>
        <w:t xml:space="preserve">- This is the §8.7.1 gate that wasn't in v1.1. Required for composters; recommend including for direct-to-soil </w:t>
      </w:r>
      <w:proofErr w:type="spellStart"/>
      <w:r>
        <w:t>offtakers</w:t>
      </w:r>
      <w:proofErr w:type="spellEnd"/>
      <w:r>
        <w:t xml:space="preserve"> too so we don't have to maintain two versions of the agreement.</w:t>
      </w:r>
    </w:p>
    <w:p w14:paraId="2BB28EFE" w14:textId="77777777" w:rsidR="00117D30" w:rsidRDefault="00117D30">
      <w:r>
        <w:t>- "Reasonable supporting evidence" gives Buyer flexibility on what they hand over — most commercial operations have at least one of these.</w:t>
      </w:r>
    </w:p>
    <w:p w14:paraId="7C248342" w14:textId="77777777" w:rsidR="00117D30" w:rsidRDefault="00117D30"/>
    <w:p w14:paraId="1FCC64C7" w14:textId="77777777" w:rsidR="00117D30" w:rsidRDefault="00117D30">
      <w:r>
        <w:t>CLAUSE 6 — TIME-TO-MIX WINDOW (COMPOSTERS ONLY)</w:t>
      </w:r>
    </w:p>
    <w:p w14:paraId="7F42EC0C" w14:textId="77777777" w:rsidR="00117D30" w:rsidRDefault="00117D30">
      <w:r>
        <w:t>Suggested text:</w:t>
      </w:r>
    </w:p>
    <w:p w14:paraId="45668CAF" w14:textId="77777777" w:rsidR="00117D30" w:rsidRDefault="00117D30">
      <w:r>
        <w:t>"Where Buyer intends to mix the Biochar with compost or other organic material, Buyer will mix the Biochar with such material within [60 / 90 / 120] days of receipt. Buyer will provide Charm with confirmation that mixing has occurred within the foregoing period."</w:t>
      </w:r>
    </w:p>
    <w:p w14:paraId="0A2FE6E0" w14:textId="77777777" w:rsidR="00117D30" w:rsidRDefault="00117D30"/>
    <w:p w14:paraId="6AB8D5EC" w14:textId="77777777" w:rsidR="00117D30" w:rsidRDefault="00117D30">
      <w:r>
        <w:t>Satisfies: §8.7.1 (timeframe within which biochar will be mixed following receipt; mixing facility records)</w:t>
      </w:r>
    </w:p>
    <w:p w14:paraId="4FF3A190" w14:textId="77777777" w:rsidR="00117D30" w:rsidRDefault="00117D30"/>
    <w:p w14:paraId="508A018E" w14:textId="77777777" w:rsidR="00117D30" w:rsidRDefault="00117D30">
      <w:r>
        <w:t>Notes for Katie:</w:t>
      </w:r>
    </w:p>
    <w:p w14:paraId="596A822C" w14:textId="77777777" w:rsidR="00117D30" w:rsidRDefault="00117D30">
      <w:r>
        <w:t>- Pick a window that's operationally realistic for our compost partners. 90 days is a defensible default.</w:t>
      </w:r>
    </w:p>
    <w:p w14:paraId="6610A6CD" w14:textId="77777777" w:rsidR="00117D30" w:rsidRDefault="00117D30">
      <w:r>
        <w:t>- Per Isometric's Round-1 response: credits will not be issued against this biochar until this period has elapsed and mixing is confirmed. That's their lever, not a contract enforcement mechanism — but the Buyer's obligation here is what makes the lever work.</w:t>
      </w:r>
    </w:p>
    <w:p w14:paraId="27DBF7FE" w14:textId="77777777" w:rsidR="00117D30" w:rsidRDefault="00117D30"/>
    <w:p w14:paraId="3CC585DE" w14:textId="77777777" w:rsidR="00117D30" w:rsidRDefault="00117D30">
      <w:r>
        <w:t>CLAUSE 7 — BLENDED PRODUCT COMPOSITION (COMPOSTERS ONLY)</w:t>
      </w:r>
    </w:p>
    <w:p w14:paraId="00AD7124" w14:textId="77777777" w:rsidR="00117D30" w:rsidRDefault="00117D30">
      <w:r>
        <w:t>Suggested text:</w:t>
      </w:r>
    </w:p>
    <w:p w14:paraId="18DA1D3D" w14:textId="77777777" w:rsidR="00117D30" w:rsidRDefault="00117D30">
      <w:r>
        <w:t>"Where Buyer intends to mix the Biochar with compost or other organic material, Buyer represents and warrants that the final blended product will contain less than fifty percent (50%) Biochar by volume and will not be suitable for use as a fuel due to its composition and moisture content."</w:t>
      </w:r>
    </w:p>
    <w:p w14:paraId="02A0789E" w14:textId="77777777" w:rsidR="00117D30" w:rsidRDefault="00117D30"/>
    <w:p w14:paraId="61400101" w14:textId="77777777" w:rsidR="00117D30" w:rsidRDefault="00117D30">
      <w:r>
        <w:t>Satisfies: §8.7 / §9.2.2 (irreversible product integration; &lt;50% biochar by volume; final product unsuitable as fuel)</w:t>
      </w:r>
    </w:p>
    <w:p w14:paraId="6F735D04" w14:textId="77777777" w:rsidR="00117D30" w:rsidRDefault="00117D30"/>
    <w:p w14:paraId="37C44CDA" w14:textId="77777777" w:rsidR="00117D30" w:rsidRDefault="00117D30">
      <w:r>
        <w:t>Notes for Katie:</w:t>
      </w:r>
    </w:p>
    <w:p w14:paraId="00C51E57" w14:textId="77777777" w:rsidR="00117D30" w:rsidRDefault="00117D30">
      <w:r>
        <w:t>- This is the irreversibility test that lets Isometric treat the mixing point as the durable storage point.</w:t>
      </w:r>
    </w:p>
    <w:p w14:paraId="2529AC99" w14:textId="77777777" w:rsidR="00117D30" w:rsidRDefault="00117D30"/>
    <w:p w14:paraId="4ACF3DE1" w14:textId="77777777" w:rsidR="00117D30" w:rsidRDefault="00117D30">
      <w:r>
        <w:t>CLAUSE 8 — RECORDS RETENTION AND ACCESS</w:t>
      </w:r>
    </w:p>
    <w:p w14:paraId="0B85ACFB" w14:textId="77777777" w:rsidR="00117D30" w:rsidRDefault="00117D30">
      <w:r>
        <w:t>Suggested text:</w:t>
      </w:r>
    </w:p>
    <w:p w14:paraId="2249D8F3" w14:textId="77777777" w:rsidR="00117D30" w:rsidRDefault="00117D30">
      <w:r>
        <w:t>"Buyer will retain records relating to the receipt, storage, mixing (where applicable), and application of the Biochar for not less than five (5) years from the date of receipt. Upon reasonable notice from Charm, Buyer will provide Charm or its designated third-party verifier with access to such records and to relevant facilities for the purpose of audit or verification."</w:t>
      </w:r>
    </w:p>
    <w:p w14:paraId="0614ABDC" w14:textId="77777777" w:rsidR="00117D30" w:rsidRDefault="00117D30"/>
    <w:p w14:paraId="6211D8A2" w14:textId="77777777" w:rsidR="00117D30" w:rsidRDefault="00117D30">
      <w:r>
        <w:t>Satisfies: §8.7.1 (agreement to retain and provide supporting evidence); §9.10 (verification and audit guidance — VVB site visits)</w:t>
      </w:r>
    </w:p>
    <w:p w14:paraId="61B0A427" w14:textId="77777777" w:rsidR="00117D30" w:rsidRDefault="00117D30"/>
    <w:p w14:paraId="50965C2F" w14:textId="77777777" w:rsidR="00117D30" w:rsidRDefault="00117D30">
      <w:r>
        <w:t>Notes for Katie:</w:t>
      </w:r>
    </w:p>
    <w:p w14:paraId="335B661E" w14:textId="77777777" w:rsidR="00117D30" w:rsidRDefault="00117D30">
      <w:r>
        <w:t>- 5 years matches Isometric's record retention requirement under §9.4.</w:t>
      </w:r>
    </w:p>
    <w:p w14:paraId="54696E14" w14:textId="77777777" w:rsidR="00117D30" w:rsidRDefault="00117D30">
      <w:r>
        <w:t>- "Reasonable notice" is the standard hedge — keeps us out of inspection-on-demand territory.</w:t>
      </w:r>
    </w:p>
    <w:p w14:paraId="6BB0E5A8" w14:textId="77777777" w:rsidR="00117D30" w:rsidRDefault="00117D30"/>
    <w:p w14:paraId="7C67498D" w14:textId="77777777" w:rsidR="00117D30" w:rsidRDefault="00117D30">
      <w:r>
        <w:t>DRAFTING NOTES FOR KATIE</w:t>
      </w:r>
    </w:p>
    <w:p w14:paraId="217D993D" w14:textId="77777777" w:rsidR="00117D30" w:rsidRDefault="00117D30"/>
    <w:p w14:paraId="6A6C8C1A" w14:textId="77777777" w:rsidR="00117D30" w:rsidRDefault="00117D30">
      <w:r>
        <w:t xml:space="preserve">1. Single document for both pathways. The clauses above can sit in one biochar </w:t>
      </w:r>
      <w:proofErr w:type="spellStart"/>
      <w:r>
        <w:t>offtaker</w:t>
      </w:r>
      <w:proofErr w:type="spellEnd"/>
      <w:r>
        <w:t xml:space="preserve"> agreement; clauses marked "composters only" simply don't apply when the buyer's intended use is direct-to-soil. We'd rather not maintain two templates.</w:t>
      </w:r>
    </w:p>
    <w:p w14:paraId="6147C491" w14:textId="77777777" w:rsidR="00117D30" w:rsidRDefault="00117D30"/>
    <w:p w14:paraId="194CE9EF" w14:textId="77777777" w:rsidR="00117D30" w:rsidRDefault="00117D30">
      <w:r>
        <w:lastRenderedPageBreak/>
        <w:t>2. Order of insertion. The natural place for these in most commercial agreements is right after the existing delivery / acceptance clauses and before the warranties section. Suggested grouping:</w:t>
      </w:r>
    </w:p>
    <w:p w14:paraId="36B747F2" w14:textId="77777777" w:rsidR="00117D30" w:rsidRDefault="00117D30">
      <w:r>
        <w:t xml:space="preserve">   - End-use and application (Clauses 1, 2, 3, 4)</w:t>
      </w:r>
    </w:p>
    <w:p w14:paraId="304FEBC0" w14:textId="77777777" w:rsidR="00117D30" w:rsidRDefault="00117D30">
      <w:r>
        <w:t xml:space="preserve">   - Buyer representations (Clauses 5, 7)</w:t>
      </w:r>
    </w:p>
    <w:p w14:paraId="0514009E" w14:textId="77777777" w:rsidR="00117D30" w:rsidRDefault="00117D30">
      <w:r>
        <w:t xml:space="preserve">   - Obligations on receipt (Clauses 6, 8)</w:t>
      </w:r>
    </w:p>
    <w:p w14:paraId="6B685508" w14:textId="77777777" w:rsidR="00117D30" w:rsidRDefault="00117D30"/>
    <w:p w14:paraId="1C93177C" w14:textId="77777777" w:rsidR="00117D30" w:rsidRDefault="00117D30">
      <w:r>
        <w:t>3. What did NOT make it into this package — but is being handled elsewhere:</w:t>
      </w:r>
    </w:p>
    <w:p w14:paraId="51F8A206" w14:textId="77777777" w:rsidR="00117D30" w:rsidRDefault="00117D30">
      <w:r>
        <w:t xml:space="preserve">   - Charm's batch IDs and chain-of-custody traceability — these live on Charm's side (</w:t>
      </w:r>
      <w:proofErr w:type="spellStart"/>
      <w:r>
        <w:t>Manufacturo</w:t>
      </w:r>
      <w:proofErr w:type="spellEnd"/>
      <w:r>
        <w:t xml:space="preserve"> + Ops) and shouldn't burden the Buyer with paperwork they don't need to sign onto.</w:t>
      </w:r>
    </w:p>
    <w:p w14:paraId="4A6C9FF0" w14:textId="77777777" w:rsidR="00117D30" w:rsidRDefault="00117D30">
      <w:r>
        <w:t xml:space="preserve">   - Best-practice handling and application guidance — separate document being prepared by EHS/MRV/Sales (Rachel + Brian + Katie) and provided alongside delivery, not inserted into the agreement.</w:t>
      </w:r>
    </w:p>
    <w:p w14:paraId="44409946" w14:textId="77777777" w:rsidR="00117D30" w:rsidRDefault="00117D30"/>
    <w:p w14:paraId="7D44D929" w14:textId="77777777" w:rsidR="00117D30" w:rsidRDefault="00117D30">
      <w:r>
        <w:t>4. Brenner back-fill. Brenner has already executed an agreement that predates these clauses. To close the v1.2 evidence gap on existing inventory, Charm needs to obtain a written attestation from Brenner covering Clauses 2–4 (location, application date, acreage) for past deliveries. This sits outside the agreement update.</w:t>
      </w:r>
    </w:p>
    <w:p w14:paraId="554BE5B7" w14:textId="77777777" w:rsidR="00117D30" w:rsidRDefault="00117D30"/>
    <w:p w14:paraId="5BB88601" w14:textId="77777777" w:rsidR="00117D30" w:rsidRDefault="00117D30">
      <w:r>
        <w:t>5. Per §8.7.1, Isometric also expects "the maximum geographical boundaries or specific locations" of application; Clause 2 covers this for both direct-to-soil and composter pathways.</w:t>
      </w:r>
    </w:p>
    <w:p w14:paraId="50F9BD1D" w14:textId="77777777" w:rsidR="00117D30" w:rsidRDefault="00117D30"/>
    <w:p w14:paraId="17D8D8D4" w14:textId="77777777" w:rsidR="00117D30" w:rsidRDefault="00117D30">
      <w:r>
        <w:t>OPEN QUESTIONS FOR KATIE</w:t>
      </w:r>
    </w:p>
    <w:p w14:paraId="750307F1" w14:textId="77777777" w:rsidR="00117D30" w:rsidRDefault="00117D30"/>
    <w:p w14:paraId="10549AF8" w14:textId="77777777" w:rsidR="00117D30" w:rsidRDefault="00117D30">
      <w:r>
        <w:t xml:space="preserve">- Is 90 days an acceptable default time-to-mix window for our composter relationships, or does that need adjustment based on what Compost Colorado / </w:t>
      </w:r>
      <w:proofErr w:type="spellStart"/>
      <w:r>
        <w:t>Terrachar</w:t>
      </w:r>
      <w:proofErr w:type="spellEnd"/>
      <w:r>
        <w:t xml:space="preserve"> / Brenner-equivalents </w:t>
      </w:r>
      <w:proofErr w:type="gramStart"/>
      <w:r>
        <w:t>actually do</w:t>
      </w:r>
      <w:proofErr w:type="gramEnd"/>
      <w:r>
        <w:t xml:space="preserve"> operationally?</w:t>
      </w:r>
    </w:p>
    <w:p w14:paraId="18C9DDA9" w14:textId="77777777" w:rsidR="00117D30" w:rsidRDefault="00117D30">
      <w:r>
        <w:lastRenderedPageBreak/>
        <w:t xml:space="preserve">- Do any of our existing </w:t>
      </w:r>
      <w:proofErr w:type="spellStart"/>
      <w:r>
        <w:t>offtakers</w:t>
      </w:r>
      <w:proofErr w:type="spellEnd"/>
      <w:r>
        <w:t xml:space="preserve"> have boilerplate that already covers Clauses 7 or 8 in different language? If so, we can reference / </w:t>
      </w:r>
      <w:proofErr w:type="gramStart"/>
      <w:r>
        <w:t>cross-walk</w:t>
      </w:r>
      <w:proofErr w:type="gramEnd"/>
      <w:r>
        <w:t xml:space="preserve"> rather than add duplicate text.</w:t>
      </w:r>
    </w:p>
    <w:p w14:paraId="13494D67" w14:textId="77777777" w:rsidR="00117D30" w:rsidRDefault="00117D30">
      <w:r>
        <w:t xml:space="preserve">- For Clause 5, are there any of our current or near-term </w:t>
      </w:r>
      <w:proofErr w:type="spellStart"/>
      <w:r>
        <w:t>offtakers</w:t>
      </w:r>
      <w:proofErr w:type="spellEnd"/>
      <w:r>
        <w:t xml:space="preserve"> who might struggle with the 3-year active-operation attestation? If so, flag now so we can think through alternative-evidence language (per §8.7.1, "alternative information to show the company has legitimate end use of the biochar").</w:t>
      </w:r>
    </w:p>
    <w:p w14:paraId="7E2B13F3" w14:textId="77777777" w:rsidR="002B5636" w:rsidRDefault="002B5636"/>
    <w:sectPr w:rsidR="002B563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7D30"/>
    <w:rsid w:val="00117D30"/>
    <w:rsid w:val="00265F4C"/>
    <w:rsid w:val="002B5636"/>
    <w:rsid w:val="003F59B4"/>
    <w:rsid w:val="007427AA"/>
    <w:rsid w:val="00941FAF"/>
    <w:rsid w:val="00ED2F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C17886C"/>
  <w15:chartTrackingRefBased/>
  <w15:docId w15:val="{B07FD366-8A21-514D-BCFA-DC22415731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7D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17D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17D3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17D3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17D3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17D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7D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7D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7D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7D3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17D3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17D3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17D3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17D3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17D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7D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7D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7D30"/>
    <w:rPr>
      <w:rFonts w:eastAsiaTheme="majorEastAsia" w:cstheme="majorBidi"/>
      <w:color w:val="272727" w:themeColor="text1" w:themeTint="D8"/>
    </w:rPr>
  </w:style>
  <w:style w:type="paragraph" w:styleId="Title">
    <w:name w:val="Title"/>
    <w:basedOn w:val="Normal"/>
    <w:next w:val="Normal"/>
    <w:link w:val="TitleChar"/>
    <w:uiPriority w:val="10"/>
    <w:qFormat/>
    <w:rsid w:val="00117D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7D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7D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7D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7D30"/>
    <w:pPr>
      <w:spacing w:before="160"/>
      <w:jc w:val="center"/>
    </w:pPr>
    <w:rPr>
      <w:i/>
      <w:iCs/>
      <w:color w:val="404040" w:themeColor="text1" w:themeTint="BF"/>
    </w:rPr>
  </w:style>
  <w:style w:type="character" w:customStyle="1" w:styleId="QuoteChar">
    <w:name w:val="Quote Char"/>
    <w:basedOn w:val="DefaultParagraphFont"/>
    <w:link w:val="Quote"/>
    <w:uiPriority w:val="29"/>
    <w:rsid w:val="00117D30"/>
    <w:rPr>
      <w:i/>
      <w:iCs/>
      <w:color w:val="404040" w:themeColor="text1" w:themeTint="BF"/>
    </w:rPr>
  </w:style>
  <w:style w:type="paragraph" w:styleId="ListParagraph">
    <w:name w:val="List Paragraph"/>
    <w:basedOn w:val="Normal"/>
    <w:uiPriority w:val="34"/>
    <w:qFormat/>
    <w:rsid w:val="00117D30"/>
    <w:pPr>
      <w:ind w:left="720"/>
      <w:contextualSpacing/>
    </w:pPr>
  </w:style>
  <w:style w:type="character" w:styleId="IntenseEmphasis">
    <w:name w:val="Intense Emphasis"/>
    <w:basedOn w:val="DefaultParagraphFont"/>
    <w:uiPriority w:val="21"/>
    <w:qFormat/>
    <w:rsid w:val="00117D30"/>
    <w:rPr>
      <w:i/>
      <w:iCs/>
      <w:color w:val="0F4761" w:themeColor="accent1" w:themeShade="BF"/>
    </w:rPr>
  </w:style>
  <w:style w:type="paragraph" w:styleId="IntenseQuote">
    <w:name w:val="Intense Quote"/>
    <w:basedOn w:val="Normal"/>
    <w:next w:val="Normal"/>
    <w:link w:val="IntenseQuoteChar"/>
    <w:uiPriority w:val="30"/>
    <w:qFormat/>
    <w:rsid w:val="00117D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7D30"/>
    <w:rPr>
      <w:i/>
      <w:iCs/>
      <w:color w:val="0F4761" w:themeColor="accent1" w:themeShade="BF"/>
    </w:rPr>
  </w:style>
  <w:style w:type="character" w:styleId="IntenseReference">
    <w:name w:val="Intense Reference"/>
    <w:basedOn w:val="DefaultParagraphFont"/>
    <w:uiPriority w:val="32"/>
    <w:qFormat/>
    <w:rsid w:val="00117D3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1315</Words>
  <Characters>7501</Characters>
  <Application>Microsoft Office Word</Application>
  <DocSecurity>0</DocSecurity>
  <Lines>62</Lines>
  <Paragraphs>17</Paragraphs>
  <ScaleCrop>false</ScaleCrop>
  <Company/>
  <LinksUpToDate>false</LinksUpToDate>
  <CharactersWithSpaces>8799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Max Bernard Lavine</dc:creator>
  <cp:keywords/>
  <dc:description/>
  <cp:lastModifiedBy>Max Bernard Lavine</cp:lastModifiedBy>
  <cp:revision>1</cp:revision>
  <dcterms:created xsi:type="dcterms:W3CDTF">2026-05-06T00:14:00Z</dcterms:created>
  <dcterms:modified xsi:type="dcterms:W3CDTF">2026-05-06T00:14:00Z</dcterms:modified>
</cp:coreProperties>
</file>