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28"/>
        </w:rPr>
        <w:t>Biochar Supply Agreement</w:t>
      </w:r>
    </w:p>
    <w:p>
      <w:pPr>
        <w:spacing w:after="240"/>
      </w:pPr>
      <w:r>
        <w:rPr>
          <w:sz w:val="22"/>
        </w:rPr>
        <w:t xml:space="preserve">This Biochar Supply Agreement (this </w:t>
      </w:r>
      <w:r>
        <w:rPr>
          <w:b/>
        </w:rPr>
        <w:t>“Agreement”</w:t>
      </w:r>
      <w:r>
        <w:t xml:space="preserve">) is effective as of __________________, 20___ (the </w:t>
      </w:r>
      <w:r>
        <w:rPr>
          <w:b/>
        </w:rPr>
        <w:t>“Effective Date”</w:t>
      </w:r>
      <w:r>
        <w:t>), is entered into by Charm Industrial, Inc., a Delaware corporation (</w:t>
      </w:r>
      <w:r>
        <w:rPr>
          <w:b/>
        </w:rPr>
        <w:t>“Charm”</w:t>
      </w:r>
      <w:r>
        <w:t>) and the buyer entity identified below (</w:t>
      </w:r>
      <w:r>
        <w:rPr>
          <w:b/>
        </w:rPr>
        <w:t>“Buyer”</w:t>
      </w:r>
      <w:r>
        <w:t xml:space="preserve">). This Agreement consists of the below order details (the </w:t>
      </w:r>
      <w:r>
        <w:rPr>
          <w:b/>
        </w:rPr>
        <w:t>“Order”</w:t>
      </w:r>
      <w:r>
        <w:t>) and the Purchase Terms attached as Exhibit A.</w:t>
      </w:r>
    </w:p>
    <w:tbl>
      <w:tblPr>
        <w:tblStyle w:val="TableGrid"/>
        <w:tblW w:type="auto" w:w="0"/>
        <w:tblLayout w:type="fixed"/>
        <w:tblLook w:firstColumn="1" w:firstRow="1" w:lastColumn="0" w:lastRow="0" w:noHBand="0" w:noVBand="1" w:val="04A0"/>
      </w:tblPr>
      <w:tblGrid>
        <w:gridCol w:w="2448"/>
        <w:gridCol w:w="6912"/>
      </w:tblGrid>
      <w:tr>
        <w:tc>
          <w:tcPr>
            <w:tcW w:type="dxa" w:w="4680"/>
          </w:tcPr>
          <w:p>
            <w:r/>
            <w:r>
              <w:rPr>
                <w:b/>
                <w:sz w:val="22"/>
              </w:rPr>
              <w:t>Buyer</w:t>
            </w:r>
          </w:p>
        </w:tc>
        <w:tc>
          <w:tcPr>
            <w:tcW w:type="dxa" w:w="4680"/>
          </w:tcPr>
          <w:p>
            <w:pPr>
              <w:spacing w:after="120"/>
            </w:pPr>
            <w:r/>
            <w:r>
              <w:rPr>
                <w:sz w:val="22"/>
              </w:rPr>
              <w:t>[Buyer entity name]</w:t>
            </w:r>
          </w:p>
        </w:tc>
      </w:tr>
      <w:tr>
        <w:tc>
          <w:tcPr>
            <w:tcW w:type="dxa" w:w="4680"/>
          </w:tcPr>
          <w:p>
            <w:r/>
            <w:r>
              <w:rPr>
                <w:b/>
                <w:sz w:val="22"/>
              </w:rPr>
              <w:t>Biochar Details</w:t>
            </w:r>
          </w:p>
        </w:tc>
        <w:tc>
          <w:tcPr>
            <w:tcW w:type="dxa" w:w="4680"/>
          </w:tcPr>
          <w:p>
            <w:pPr>
              <w:spacing w:after="120"/>
            </w:pPr>
            <w:r/>
            <w:r>
              <w:rPr>
                <w:sz w:val="22"/>
              </w:rPr>
              <w:t>The “Products” mean black carbon produced from biomass sources, commonly referred to as “biochar” with the following specifications: [specifications].</w:t>
            </w:r>
          </w:p>
        </w:tc>
      </w:tr>
      <w:tr>
        <w:tc>
          <w:tcPr>
            <w:tcW w:type="dxa" w:w="4680"/>
          </w:tcPr>
          <w:p>
            <w:r/>
            <w:r>
              <w:rPr>
                <w:b/>
                <w:sz w:val="22"/>
              </w:rPr>
              <w:t>Purchase Amount</w:t>
            </w:r>
          </w:p>
        </w:tc>
        <w:tc>
          <w:tcPr>
            <w:tcW w:type="dxa" w:w="4680"/>
          </w:tcPr>
          <w:p>
            <w:pPr>
              <w:spacing w:after="120"/>
            </w:pPr>
            <w:r/>
            <w:r>
              <w:rPr>
                <w:sz w:val="22"/>
              </w:rPr>
              <w:t>[Quantity] Bone Dry U.S. Tons</w:t>
            </w:r>
          </w:p>
        </w:tc>
      </w:tr>
      <w:tr>
        <w:tc>
          <w:tcPr>
            <w:tcW w:type="dxa" w:w="4680"/>
          </w:tcPr>
          <w:p>
            <w:r/>
            <w:r>
              <w:rPr>
                <w:b/>
                <w:sz w:val="22"/>
              </w:rPr>
              <w:t>Total Fees</w:t>
            </w:r>
          </w:p>
        </w:tc>
        <w:tc>
          <w:tcPr>
            <w:tcW w:type="dxa" w:w="4680"/>
          </w:tcPr>
          <w:p>
            <w:pPr>
              <w:spacing w:after="120"/>
            </w:pPr>
            <w:r/>
            <w:r>
              <w:rPr>
                <w:sz w:val="22"/>
              </w:rPr>
              <w:t>$[amount]</w:t>
            </w:r>
          </w:p>
        </w:tc>
      </w:tr>
      <w:tr>
        <w:tc>
          <w:tcPr>
            <w:tcW w:type="dxa" w:w="4680"/>
          </w:tcPr>
          <w:p>
            <w:r/>
            <w:r>
              <w:rPr>
                <w:b/>
                <w:sz w:val="22"/>
              </w:rPr>
              <w:t>Payment Terms</w:t>
            </w:r>
          </w:p>
        </w:tc>
        <w:tc>
          <w:tcPr>
            <w:tcW w:type="dxa" w:w="4680"/>
          </w:tcPr>
          <w:p>
            <w:pPr>
              <w:spacing w:after="120"/>
            </w:pPr>
            <w:r/>
            <w:r>
              <w:rPr>
                <w:sz w:val="22"/>
              </w:rPr>
              <w:t>Invoiced by Charm upon execution of this Agreement and paid by Buyer within fifteen (15) days from receipt of invoice.</w:t>
            </w:r>
          </w:p>
        </w:tc>
      </w:tr>
      <w:tr>
        <w:tc>
          <w:tcPr>
            <w:tcW w:type="dxa" w:w="4680"/>
          </w:tcPr>
          <w:p>
            <w:r/>
            <w:r>
              <w:rPr>
                <w:b/>
                <w:sz w:val="22"/>
              </w:rPr>
              <w:t>Delivery Terms</w:t>
            </w:r>
          </w:p>
        </w:tc>
        <w:tc>
          <w:tcPr>
            <w:tcW w:type="dxa" w:w="4680"/>
          </w:tcPr>
          <w:p>
            <w:pPr>
              <w:spacing w:after="120"/>
            </w:pPr>
            <w:r/>
            <w:r>
              <w:rPr>
                <w:sz w:val="22"/>
              </w:rPr>
              <w:t>Ex Works at Charm facilities located at 2360 S Rollie Avenue, Fort Lupton, CO 80621.</w:t>
            </w:r>
          </w:p>
        </w:tc>
      </w:tr>
      <w:tr>
        <w:tc>
          <w:tcPr>
            <w:tcW w:type="dxa" w:w="4680"/>
          </w:tcPr>
          <w:p>
            <w:r/>
            <w:r>
              <w:rPr>
                <w:b/>
                <w:sz w:val="22"/>
              </w:rPr>
              <w:t>Estimated Delivery Timeframe</w:t>
            </w:r>
          </w:p>
        </w:tc>
        <w:tc>
          <w:tcPr>
            <w:tcW w:type="dxa" w:w="4680"/>
          </w:tcPr>
          <w:p>
            <w:pPr>
              <w:spacing w:after="120"/>
            </w:pPr>
            <w:r/>
            <w:r>
              <w:rPr>
                <w:sz w:val="22"/>
              </w:rPr>
              <w:t>[Date]</w:t>
            </w:r>
          </w:p>
        </w:tc>
      </w:tr>
      <w:tr>
        <w:tc>
          <w:tcPr>
            <w:tcW w:type="dxa" w:w="4680"/>
          </w:tcPr>
          <w:p>
            <w:r/>
            <w:r>
              <w:rPr>
                <w:b/>
                <w:sz w:val="22"/>
              </w:rPr>
              <w:t>Additional Terms</w:t>
            </w:r>
          </w:p>
        </w:tc>
        <w:tc>
          <w:tcPr>
            <w:tcW w:type="dxa" w:w="4680"/>
          </w:tcPr>
          <w:p>
            <w:pPr>
              <w:spacing w:after="120"/>
            </w:pPr>
            <w:r/>
            <w:r>
              <w:rPr>
                <w:sz w:val="22"/>
              </w:rPr>
              <w:t>Buyer warrants and covenants that it will use the Products solely as a land-applied soil amendment, or for incorporation into a compost or soil amendment product destined for agricultural land application, and for no other purpose. Buyer will not use, or permit the Products to be used, as a fuel or for any combustion purpose.</w:t>
            </w:r>
          </w:p>
          <w:p>
            <w:pPr>
              <w:spacing w:after="120"/>
            </w:pPr>
            <w:r>
              <w:rPr>
                <w:sz w:val="22"/>
              </w:rPr>
              <w:t>Buyer represents and warrants that it has been an active agricultural, composting, or adjacent operation for not less than three (3) years prior to the Effective Date. Upon Charm’s request, Buyer will provide reasonable supporting documentation evidencing such operation (e.g., business registration, operating permit, or equivalent).</w:t>
            </w:r>
          </w:p>
          <w:p>
            <w:pPr>
              <w:spacing w:after="120"/>
            </w:pPr>
            <w:r>
              <w:rPr>
                <w:sz w:val="22"/>
              </w:rPr>
              <w:t>Where Buyer intends to incorporate the Products into compost or other organic material, Buyer will complete such incorporation within ninety (90) days of receipt. The final blended product will contain less than fifty percent (50%) Products by volume and will not be suitable for use as a fuel due to its composition and moisture content.</w:t>
            </w:r>
          </w:p>
          <w:p>
            <w:pPr>
              <w:spacing w:after="120"/>
            </w:pPr>
            <w:r>
              <w:rPr>
                <w:sz w:val="22"/>
              </w:rPr>
              <w:t>Buyer represents that the Products will be applied or stored at the Application Location(s), on or about the Estimated Application Date(s), and over approximately the Estimated Acreage, each as set forth below. Buyer will not apply the Products at a rate exceeding 4 dry U.S. tons per acre, or such lower rate as may be required by the relevant jurisdiction where the Products are applied. Buyer will not apply the Products outside of the Application Location(s) without prior written notice to Charm.</w:t>
            </w:r>
          </w:p>
          <w:p>
            <w:r>
              <w:rPr>
                <w:b/>
                <w:sz w:val="22"/>
              </w:rPr>
              <w:t xml:space="preserve">Application Location(s): </w:t>
            </w:r>
            <w:r>
              <w:rPr>
                <w:sz w:val="22"/>
              </w:rPr>
              <w:t>____________________________________________________________</w:t>
            </w:r>
          </w:p>
          <w:p>
            <w:pPr>
              <w:spacing w:after="120"/>
            </w:pPr>
            <w:r>
              <w:rPr>
                <w:i/>
                <w:sz w:val="18"/>
              </w:rPr>
              <w:t xml:space="preserve">   (Street address(es) and/or GPS coordinates)</w:t>
            </w:r>
          </w:p>
          <w:p>
            <w:pPr>
              <w:spacing w:after="120"/>
            </w:pPr>
            <w:r>
              <w:rPr>
                <w:b/>
                <w:sz w:val="22"/>
              </w:rPr>
              <w:t xml:space="preserve">Estimated Application Date or Date Range: </w:t>
            </w:r>
            <w:r>
              <w:rPr>
                <w:sz w:val="22"/>
              </w:rPr>
              <w:t>____________________________________________________________</w:t>
            </w:r>
          </w:p>
          <w:p>
            <w:pPr>
              <w:spacing w:after="120"/>
            </w:pPr>
            <w:r>
              <w:rPr>
                <w:b/>
                <w:sz w:val="22"/>
              </w:rPr>
              <w:t xml:space="preserve">Estimated Acreage: </w:t>
            </w:r>
            <w:r>
              <w:rPr>
                <w:sz w:val="22"/>
              </w:rPr>
              <w:t>____________________________________________________________</w:t>
            </w:r>
          </w:p>
          <w:p>
            <w:pPr>
              <w:spacing w:after="120"/>
            </w:pPr>
            <w:r>
              <w:rPr>
                <w:sz w:val="22"/>
              </w:rPr>
              <w:t>Buyer will retain records relating to the receipt, storage, incorporation (where applicable), and application of the Products for not less than five (5) years from the date of receipt. Upon reasonable notice from Charm, Buyer will provide Charm or its designated third-party verifier with access to such records for the purpose of audit or verification.</w:t>
            </w:r>
          </w:p>
        </w:tc>
      </w:tr>
    </w:tbl>
    <w:p/>
    <w:p>
      <w:pPr>
        <w:spacing w:after="240"/>
      </w:pPr>
      <w:r>
        <w:rPr>
          <w:b/>
        </w:rPr>
        <w:t xml:space="preserve">IN WITNESS WHEREOF, </w:t>
      </w:r>
      <w:r>
        <w:t>duly authorized representatives of the parties hereto have executed this Agreement as of the Effective Date.</w:t>
      </w:r>
    </w:p>
    <w:tbl>
      <w:tblPr>
        <w:tblW w:type="auto" w:w="0"/>
        <w:tblLayout w:type="fixed"/>
        <w:tblLook w:firstColumn="1" w:firstRow="1" w:lastColumn="0" w:lastRow="0" w:noHBand="0" w:noVBand="1" w:val="04A0"/>
      </w:tblPr>
      <w:tblGrid>
        <w:gridCol w:w="4608"/>
        <w:gridCol w:w="4608"/>
      </w:tblGrid>
      <w:tr>
        <w:tc>
          <w:tcPr>
            <w:tcW w:type="dxa" w:w="4680"/>
          </w:tcPr>
          <w:p>
            <w:r>
              <w:rPr>
                <w:b/>
              </w:rPr>
              <w:t>CHARM INDUSTRIAL, INC.</w:t>
            </w:r>
          </w:p>
          <w:p>
            <w:r>
              <w:t>By: ___________________________________</w:t>
            </w:r>
          </w:p>
          <w:p>
            <w:r>
              <w:t>Title: __________________________________</w:t>
            </w:r>
          </w:p>
          <w:p>
            <w:r>
              <w:t>Date: __________________________________</w:t>
            </w:r>
          </w:p>
        </w:tc>
        <w:tc>
          <w:tcPr>
            <w:tcW w:type="dxa" w:w="4680"/>
          </w:tcPr>
          <w:p>
            <w:r>
              <w:rPr>
                <w:b/>
              </w:rPr>
              <w:t>BUYER</w:t>
            </w:r>
          </w:p>
          <w:p>
            <w:r>
              <w:t>By: ___________________________________</w:t>
            </w:r>
          </w:p>
          <w:p>
            <w:r>
              <w:t>Title: __________________________________</w:t>
            </w:r>
          </w:p>
          <w:p>
            <w:r>
              <w:t>Date: __________________________________</w:t>
            </w:r>
          </w:p>
        </w:tc>
      </w:tr>
    </w:tbl>
    <w:p>
      <w:r>
        <w:br w:type="page"/>
      </w:r>
    </w:p>
    <w:p>
      <w:pPr>
        <w:spacing w:after="240"/>
        <w:jc w:val="center"/>
      </w:pPr>
      <w:r>
        <w:rPr>
          <w:b/>
          <w:sz w:val="28"/>
        </w:rPr>
        <w:t>Exhibit A</w:t>
      </w:r>
    </w:p>
    <w:p>
      <w:pPr>
        <w:spacing w:after="120"/>
      </w:pPr>
      <w:r>
        <w:rPr>
          <w:b/>
          <w:sz w:val="24"/>
        </w:rPr>
        <w:t>Purchase Terms</w:t>
      </w:r>
    </w:p>
    <w:p>
      <w:pPr>
        <w:spacing w:after="120"/>
      </w:pPr>
      <w:r>
        <w:rPr>
          <w:b/>
          <w:sz w:val="24"/>
        </w:rPr>
        <w:t>1. Supply of Products</w:t>
      </w:r>
    </w:p>
    <w:p>
      <w:r>
        <w:rPr>
          <w:b/>
        </w:rPr>
        <w:t xml:space="preserve">1.1 Sale and Purchase. </w:t>
      </w:r>
      <w:r>
        <w:t>Charm agrees to make available for purchase and Buyer agrees to purchase the Products at the pricing and quantity set forth in the Order. All purchases for the Products are final and non-refundable.</w:t>
      </w:r>
    </w:p>
    <w:p>
      <w:r>
        <w:rPr>
          <w:b/>
        </w:rPr>
        <w:t xml:space="preserve">1.2 Delivery. </w:t>
      </w:r>
      <w:r>
        <w:t>The Products will be delivered in accordance with the delivery terms set forth in the Order. Unless otherwise agreed by Charm in writing, Buyer shall be responsible for arranging any desired insurance, transportation, customs, duties, costs, taxes, insurance premiums, and other expenses relating to such transportation and delivery of the Products. Subject to Section 1.3, title to the Products will pass from Charm to Buyer upon full payment by Buyer and delivery of the Products.</w:t>
      </w:r>
    </w:p>
    <w:p>
      <w:r>
        <w:rPr>
          <w:b/>
        </w:rPr>
        <w:t xml:space="preserve">1.3 Carbon Credits. </w:t>
      </w:r>
      <w:r>
        <w:t>Buyer represents, warrants and covenants that it has not and will not apply for, register, sell, transfer, or otherwise claim any carbon credits, offsets, allowances, or similar environmental attributes (collectively, “Carbon Credits”) for the Products, nor has it authorized any third party to do so. Charm retains all rights to register, sell, transfer and otherwise claim Carbon Credits in the Products.</w:t>
      </w:r>
    </w:p>
    <w:p>
      <w:pPr>
        <w:spacing w:after="120"/>
      </w:pPr>
      <w:r>
        <w:rPr>
          <w:b/>
          <w:sz w:val="24"/>
        </w:rPr>
        <w:t>2. Payment</w:t>
      </w:r>
    </w:p>
    <w:p>
      <w:r>
        <w:t>Buyer will pay Charm for the Products as set forth in the Order. All fees are quoted and payable in United States dollars, and payment obligations are non-cancelable and non-refundable. If Charm has not received payment within five (5) days after the applicable due date, interest will accrue on past due amounts at the rate of one percent (1%) per month, but in no event greater than the highest rate of interest allowed by law, calculated from the date such amount was due until the date that payment is received by Charm. All amounts payable hereunder are exclusive of any sales, use and other taxes or duties, however designated (collectively “Taxes”). Buyer will be solely responsible for payment of all Taxes, except for those taxes based on the income of Charm. Buyer will not withhold any Taxes from any amounts due to Charm.</w:t>
      </w:r>
    </w:p>
    <w:p>
      <w:pPr>
        <w:spacing w:after="120"/>
      </w:pPr>
      <w:r>
        <w:rPr>
          <w:b/>
          <w:sz w:val="24"/>
        </w:rPr>
        <w:t>3. Proprietary Rights; Confidentiality</w:t>
      </w:r>
    </w:p>
    <w:p>
      <w:r>
        <w:rPr>
          <w:b/>
        </w:rPr>
        <w:t xml:space="preserve">3.1 Proprietary Rights. </w:t>
      </w:r>
      <w:r>
        <w:t>Each party shall retain ownership to all right, title and interest to its existing intellectual property rights and any intellectual property rights that it develops independently of or in connection with this Agreement, including all developments, modifications, enhancements, derivatives, and adaptations to the foregoing. Neither party grants the other party any right or license under its intellectual property rights.</w:t>
      </w:r>
    </w:p>
    <w:p>
      <w:r>
        <w:rPr>
          <w:b/>
        </w:rPr>
        <w:t xml:space="preserve">3.2 Confidentiality. </w:t>
      </w:r>
      <w:r>
        <w:t>“Confidential Information” means any information or data disclosed by either party that is marked or otherwise designated as confidential or proprietary or that should otherwise be reasonably understood to be confidential in light of the nature of the information and the circumstances surrounding disclosure. Confidential Information of Charm includes the pricing terms set forth in the Order. However, “Confidential Information” will not include any information which (a) is in the public domain through no fault of receiving party; (b) was properly known to receiving party, without restriction, prior to disclosure by the disclosing party; (c) was properly disclosed to receiving party, without restriction, by another person with the legal authority to do so; or (d) is independently developed by the receiving party without use of or reference to the disclosing party’s Confidential Information. Each party agrees that it will use the Confidential Information of the other party solely in accordance with the provisions of this Agreement and it will not disclose the same directly or indirectly, to any third party without the other party’s prior written consent, except as otherwise permitted hereunder. However, either party may disclose Confidential Information (a) to its employees, officers, directors, attorneys, auditors, financial advisors and other representatives who have a need to know and are legally bound to keep such information confidential by confidentiality obligations consistent with those of this Agreement; and (b) as required by law (in which case the receiving party will provide the disclosing party with prior written notification thereof, will provide the disclosing party with the opportunity to contest such disclosure, and will use its reasonable efforts to minimize such disclosure to the extent permitted by applicable law). Neither party will disclose the terms of this Agreement to any third party, except that either party may confidentially disclose such terms to actual or potential lenders, investors or acquirers or as required by applicable governmental agencies or authorities (including the Securities Exchange Commission). Each party agrees to exercise due care in protecting the Confidential Information from unauthorized use and disclosure. In the event of actual or threatened breach of the provisions of this Section 3.2, the non-breaching party will be entitled to seek immediate injunctive and other equitable relief, without waiving any other rights or remedies available to it. Each party will promptly notify the other in writing if it becomes aware of any violations of the confidentiality obligations set forth in this Agreement.</w:t>
      </w:r>
    </w:p>
    <w:p>
      <w:pPr>
        <w:spacing w:after="120"/>
      </w:pPr>
      <w:r>
        <w:rPr>
          <w:b/>
          <w:sz w:val="24"/>
        </w:rPr>
        <w:t>4. Warranties and Disclaimers</w:t>
      </w:r>
    </w:p>
    <w:p>
      <w:r>
        <w:rPr>
          <w:b/>
        </w:rPr>
        <w:t xml:space="preserve">4.1 Mutual Warranties. </w:t>
      </w:r>
      <w:r>
        <w:t>Each party hereby represents and warrants to the other party that: (a) it is a corporation duly organized, validly existing and in good standing under the laws of the state of its incorporation, and this Agreement has been duly authorized by all necessary corporate action on the part of such party; (b) this Agreement is the legal, valid and binding obligation of such party, enforceable against it in accordance with its terms; and (c) neither the execution and delivery of this Agreement nor the compliance with the terms and conditions hereof will conflict with, result in a breach or violation by such party of or constitute a default under any of the terms, conditions or provisions of any contract, agreement or other instrument to which it is or may be bound or affected.</w:t>
      </w:r>
    </w:p>
    <w:p>
      <w:r>
        <w:rPr>
          <w:b/>
        </w:rPr>
        <w:t xml:space="preserve">4.2 DISCLAIMERS. </w:t>
      </w:r>
      <w:r>
        <w:t>EXCEPT AS EXPRESSLY SET FORTH HEREIN, CHARM DISCLAIMS ANY AND ALL REPRESENTATIONS AND WARRANTIES RELATING TO THE PRODUCTS, WHETHER EXPRESS OR IMPLIED, INCLUDING WARRANTIES OF MERCHANTABILITY, TITLE, NON-INFRINGEMENT, AND FITNESS FOR A PARTICULAR PURPOSE. FAILURE OF BUYER TO GIVE NOTICE TO CHARM OF A CLAIM BASED ON THE PRODUCT(S) PROVIDED HEREUNDER WITHIN THIRTY (30) DAYS FROM RECEIPT OF THE PRODUCT(S) IN QUESTION SHALL CONSTITUTE AN UNCONDITIONAL WAIVER BY BUYER OF ALL CLAIMS WITH RESPECT TO SUCH PRODUCT(S).</w:t>
      </w:r>
    </w:p>
    <w:p>
      <w:pPr>
        <w:spacing w:after="120"/>
      </w:pPr>
      <w:r>
        <w:rPr>
          <w:b/>
          <w:sz w:val="24"/>
        </w:rPr>
        <w:t>5. Indemnification</w:t>
      </w:r>
    </w:p>
    <w:p>
      <w:r>
        <w:rPr>
          <w:b/>
        </w:rPr>
        <w:t xml:space="preserve">5.1 Mutual Indemnification. </w:t>
      </w:r>
      <w:r>
        <w:t>Each party (the “Indemnifying Party”) shall defend, indemnify and hold harmless the other party and its affiliates, and their respective partners, agents, officers, directors and employees (each an “Indemnified Party”), from any and all damages, liability, losses, settlement, attorneys’ fees, costs, and expenses as a result of a third party claim, action or suit (“Claim”) resulting from (i) any breach of this Agreement by the Indemnifying Party, (ii) any violation of applicable laws or regulations by the Indemnifying Party, or (iii) in the case of Buyer as the Indemnifying Party, Buyer’s breach of Section 1.3 or Buyer’s use of the Products following purchase from Charm.</w:t>
      </w:r>
    </w:p>
    <w:p>
      <w:r>
        <w:rPr>
          <w:b/>
        </w:rPr>
        <w:t xml:space="preserve">5.2 Indemnification Procedure. </w:t>
      </w:r>
      <w:r>
        <w:t>The Indemnified Party shall (i) give written notice to the Indemnifying Party promptly after learning of any Claim, (ii) tender the defense and settlement of such Claim to the Indemnifying Party (provided that the Indemnifying Party may not settle any Claim without the Indemnified Party’s prior written consent, not to be unreasonable withheld), and (iii) provide the Indemnifying Party with reasonable assistance, at the Indemnifying Party’s reasonable expense, in connection with the defense and settlement of such Claim.</w:t>
      </w:r>
    </w:p>
    <w:p>
      <w:pPr>
        <w:spacing w:after="120"/>
      </w:pPr>
      <w:r>
        <w:rPr>
          <w:b/>
          <w:sz w:val="24"/>
        </w:rPr>
        <w:t>6. Limitation of Liability</w:t>
      </w:r>
    </w:p>
    <w:p>
      <w:r>
        <w:t>EXCEPT FOR A PARTY’S INDEMNIFICATION OBLIGATIONS, BREACH OF CONFIDENTIALITY OBLIGATIONS OR VIOLATION OF THE MINIMUM PURCHASE REQUIREMENTS, UNDER NO LEGAL THEORY, WHETHER IN TORT, CONTRACT, OR OTHERWISE, WILL EITHER PARTY BE LIABLE TO THE OTHER UNDER THIS AGREEMENT FOR (A) ANY INDIRECT, SPECIAL, INCIDENTAL, CONSEQUENTIAL OR PUNITIVE DAMAGES OF ANY CHARACTER, INCLUDING DAMAGES FOR LOSS OF GOODWILL, LOST PROFITS, LOST SALES OR BUSINESS, WORK STOPPAGE, COMPUTER FAILURE OR MALFUNCTION, LOST CONTENT OR DATA, EVEN IF A REPRESENTATIVE OF SUCH PARTY HAS BEEN ADVISED, KNEW OR SHOULD HAVE KNOWN OF THE POSSIBILITY OF SUCH DAMAGES, OR (B) EXCLUDING BUYER’S PAYMENT OBLIGATIONS, ANY AGGREGATE DAMAGES, COSTS, OR LIABILITIES IN EXCESS OF THE AMOUNTS PAID BY BUYER UNDER THE APPLICABLE ORDER FORM DURING THE SIX (6) MONTHS PRECEDING THE CLAIM.</w:t>
      </w:r>
    </w:p>
    <w:p>
      <w:pPr>
        <w:spacing w:after="120"/>
      </w:pPr>
      <w:r>
        <w:rPr>
          <w:b/>
          <w:sz w:val="24"/>
        </w:rPr>
        <w:t>7. General</w:t>
      </w:r>
    </w:p>
    <w:p>
      <w:r>
        <w:rPr>
          <w:b/>
        </w:rPr>
        <w:t xml:space="preserve">7.1 Survival. </w:t>
      </w:r>
      <w:r>
        <w:t>Sections 3, 4.2, and 5–7 will survive completion consummation of the transactions contemplated in the Order.</w:t>
      </w:r>
    </w:p>
    <w:p>
      <w:r>
        <w:rPr>
          <w:b/>
        </w:rPr>
        <w:t xml:space="preserve">7.2 Export Control. </w:t>
      </w:r>
      <w:r>
        <w:t>Buyer shall comply with, and shall, at Charm’s request, demonstrate such compliance with, the U.S. Foreign Corrupt Practices Act and all applicable export laws, restrictions, and regulations of the U.S. Department of Commerce, the U.S. Department of Treasury and any other U.S. or foreign agency or authority. Buyer will not export or re-export, or allow the export or re-export of any Products in violation of any such law, restriction or regulation, including, without limitation, export or re-export to Cuba, Iran, Iraq, Libya, North Korea, or any other country subject to U.S. trade embargoes, or to any party on the U.S. Export Administration Table of Denial Orders or the U.S. Department of Treasury List of Specially Designated Nationals.</w:t>
      </w:r>
    </w:p>
    <w:p>
      <w:r>
        <w:rPr>
          <w:b/>
        </w:rPr>
        <w:t xml:space="preserve">7.3 Assignment; Delegation. </w:t>
      </w:r>
      <w:r>
        <w:t>Neither party hereto may assign or otherwise transfer this Agreement, in whole or in part, without the other party’s prior written consent. Any attempted assignment, delegation, or transfer by either party in violation hereof will be null and void. Subject to the foregoing, this Agreement will be binding on the parties and their successors and assigns.</w:t>
      </w:r>
    </w:p>
    <w:p>
      <w:r>
        <w:rPr>
          <w:b/>
        </w:rPr>
        <w:t xml:space="preserve">7.4 Amendment; Waiver. </w:t>
      </w:r>
      <w:r>
        <w:t>No amendment or modification to this Agreement, nor any waiver of any rights hereunder, will be effective unless assented to in writing by both parties. Any such waiver will be only to the specific provision and under the specific circumstances for which it was given, and will not apply with respect to any repeated or continued violation of the same provision or any other provision. Failure or delay by either party to enforce any provision of this Agreement will not be deemed a waiver of future enforcement of that or any other provision.</w:t>
      </w:r>
    </w:p>
    <w:p>
      <w:r>
        <w:rPr>
          <w:b/>
        </w:rPr>
        <w:t xml:space="preserve">7.5 Relationship. </w:t>
      </w:r>
      <w:r>
        <w:t>Nothing contained herein will in any way constitute any association, partnership, agency, employment or joint venture between the parties hereto, or be construed to evidence the intention of the parties to establish any such relationship. Neither party will have the authority to obligate or bind the other in any manner, and nothing herein contained will give rise or is intended to give rise to any rights of any kind to any third parties.</w:t>
      </w:r>
    </w:p>
    <w:p>
      <w:r>
        <w:rPr>
          <w:b/>
        </w:rPr>
        <w:t xml:space="preserve">7.6 Use of Party’s Name. </w:t>
      </w:r>
      <w:r>
        <w:t>No right, express or implied, is granted by this Agreement to either party to use in any manner the name of the other or any other trade name or trademark of the other in connection with the performance of this Agreement; provided that Charm may use Buyer’s name to identify Buyer as a customer of Charm.</w:t>
      </w:r>
    </w:p>
    <w:p>
      <w:r>
        <w:rPr>
          <w:b/>
        </w:rPr>
        <w:t xml:space="preserve">7.7 Unenforceability. </w:t>
      </w:r>
      <w:r>
        <w:t>If a court of competent jurisdiction determines that any provision of this Agreement is invalid, illegal, or otherwise unenforceable, such provision will be enforced as nearly as possible in accordance with the stated intention of the parties, while the remainder of this Agreement will remain in full force and effect and bind the parties according to its terms.</w:t>
      </w:r>
    </w:p>
    <w:p>
      <w:r>
        <w:rPr>
          <w:b/>
        </w:rPr>
        <w:t xml:space="preserve">7.8 Governing Law. </w:t>
      </w:r>
      <w:r>
        <w:t>This Agreement will be governed by the laws of the State of California, exclusive of its rules governing choice of law and conflict of laws. This Agreement will not be governed by the United Nations Convention on Contracts for the International Sale of Goods.</w:t>
      </w:r>
    </w:p>
    <w:p>
      <w:r>
        <w:rPr>
          <w:b/>
        </w:rPr>
        <w:t xml:space="preserve">7.9 Notices. </w:t>
      </w:r>
      <w:r>
        <w:t>Any notice required or permitted to be given hereunder will be given in writing by personal delivery, certified mail, return receipt requested, or by overnight delivery. Notices to the parties must be sent to the respective address set forth in the signature blocks below, or such other address designated pursuant to this Section.</w:t>
      </w:r>
    </w:p>
    <w:p>
      <w:r>
        <w:rPr>
          <w:b/>
        </w:rPr>
        <w:t xml:space="preserve">7.10 Force Majeure. </w:t>
      </w:r>
      <w:r>
        <w:t>Neither party will be deemed in breach hereunder for any cessation, interruption or delay in the performance of its obligations due to causes beyond its reasonable control, including earthquake, flood, or other natural disaster, act of God, labor controversy, civil disturbance, terrorism, war (whether or not officially declared), cyber attacks (e.g., denial of service attacks), or the inability to obtain sufficient supplies, transportation, or other essential commodity or service required in the conduct of its business, or any change in or the adoption of any law, regulation, judgment or decree.</w:t>
      </w:r>
    </w:p>
    <w:p>
      <w:r>
        <w:rPr>
          <w:b/>
        </w:rPr>
        <w:t xml:space="preserve">7.11 Entire Agreement. </w:t>
      </w:r>
      <w:r>
        <w:t>This Agreement comprises the entire agreement between Buyer and Charm with respect to its subject matter, and supersedes all prior and contemporaneous proposals, statements, sales materials or presentations and agreements (oral and written). No oral or written information or advice given by Charm, its agents or employees will create a warranty or in any way increase the scope of the warranties in this Agreement.</w:t>
      </w:r>
    </w:p>
    <w:p>
      <w:r>
        <w:rPr>
          <w:i/>
        </w:rPr>
        <w:t>ACTIVE/[doc-id]</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