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625DB7" w14:textId="77777777" w:rsidR="000E57DF" w:rsidRDefault="00000000">
      <w:r>
        <w:rPr>
          <w:b/>
          <w:color w:val="555555"/>
          <w:sz w:val="18"/>
        </w:rPr>
        <w:t>CHARM INDUSTRIAL — INTERNAL</w:t>
      </w:r>
    </w:p>
    <w:p w14:paraId="7CB21CA7" w14:textId="77777777" w:rsidR="000E57DF" w:rsidRDefault="00000000">
      <w:r>
        <w:rPr>
          <w:b/>
          <w:color w:val="1F3B57"/>
          <w:sz w:val="30"/>
        </w:rPr>
        <w:t>Shift to Six-Month Monitoring &amp; Production CI Cycles</w:t>
      </w:r>
    </w:p>
    <w:p w14:paraId="58023784" w14:textId="77777777" w:rsidR="000E57DF" w:rsidRDefault="00000000">
      <w:r>
        <w:rPr>
          <w:i/>
          <w:color w:val="555555"/>
          <w:sz w:val="19"/>
        </w:rPr>
        <w:t>Owner: Max Lavine  |  July 2026</w:t>
      </w:r>
    </w:p>
    <w:p w14:paraId="68189EBD" w14:textId="77777777" w:rsidR="000E57DF" w:rsidRDefault="000E57DF"/>
    <w:p w14:paraId="138EA60F" w14:textId="77777777" w:rsidR="000E57DF" w:rsidRDefault="00000000">
      <w:pPr>
        <w:spacing w:after="80"/>
      </w:pPr>
      <w:r>
        <w:rPr>
          <w:b/>
          <w:color w:val="1F3B57"/>
          <w:sz w:val="25"/>
        </w:rPr>
        <w:t>1.</w:t>
      </w:r>
      <w:r>
        <w:rPr>
          <w:b/>
          <w:color w:val="1F3B57"/>
          <w:sz w:val="25"/>
        </w:rPr>
        <w:tab/>
        <w:t>What Charm will do</w:t>
      </w:r>
    </w:p>
    <w:p w14:paraId="6285486A" w14:textId="77777777" w:rsidR="000E57DF" w:rsidRDefault="00000000">
      <w:pPr>
        <w:spacing w:after="80"/>
        <w:ind w:left="504"/>
      </w:pPr>
      <w:r>
        <w:t>1.</w:t>
      </w:r>
      <w:r>
        <w:tab/>
        <w:t>The next Charm CI will cover Jan–Jun 2026 production and will be used for all Charm bio-oil removal accounting through the end of 2026.</w:t>
      </w:r>
    </w:p>
    <w:p w14:paraId="2E3808D7" w14:textId="77777777" w:rsidR="000E57DF" w:rsidRDefault="00000000">
      <w:pPr>
        <w:spacing w:after="80"/>
        <w:ind w:left="1080"/>
      </w:pPr>
      <w:r>
        <w:t>a.</w:t>
      </w:r>
      <w:r>
        <w:tab/>
        <w:t>From 1/1/27 forward, the CI will be updated using the data from 7/1/26–12/31/26.</w:t>
      </w:r>
    </w:p>
    <w:p w14:paraId="36B7DD06" w14:textId="77777777" w:rsidR="000E57DF" w:rsidRDefault="00000000">
      <w:pPr>
        <w:spacing w:after="80"/>
        <w:ind w:left="504"/>
      </w:pPr>
      <w:r>
        <w:t>2.</w:t>
      </w:r>
      <w:r>
        <w:tab/>
        <w:t>The following pieces of monitoring evidence will no longer be submitted every Reporting Period. They will be submitted every 6 months — the next 6 months of data (7/1–12/31) will be submitted as a Monitoring Report during the Reporting Period that includes 12/31/26:</w:t>
      </w:r>
    </w:p>
    <w:p w14:paraId="46A6FC81" w14:textId="77777777" w:rsidR="000E57DF" w:rsidRDefault="00000000">
      <w:pPr>
        <w:spacing w:after="80"/>
        <w:ind w:left="1080"/>
      </w:pPr>
      <w:r>
        <w:t>a.</w:t>
      </w:r>
      <w:r>
        <w:tab/>
        <w:t>Wellhead monitoring data</w:t>
      </w:r>
    </w:p>
    <w:p w14:paraId="0F31CC17" w14:textId="77777777" w:rsidR="000E57DF" w:rsidRDefault="00000000">
      <w:pPr>
        <w:spacing w:after="80"/>
        <w:ind w:left="1080"/>
      </w:pPr>
      <w:r>
        <w:t>b.</w:t>
      </w:r>
      <w:r>
        <w:tab/>
        <w:t>LDENR / LDCE reporting</w:t>
      </w:r>
    </w:p>
    <w:p w14:paraId="046F3F10" w14:textId="77777777" w:rsidR="000E57DF" w:rsidRDefault="00000000">
      <w:pPr>
        <w:spacing w:after="80"/>
        <w:ind w:left="504"/>
      </w:pPr>
      <w:r>
        <w:t>3.</w:t>
      </w:r>
      <w:r>
        <w:tab/>
        <w:t>Charm will submit Vaulted KDHE reporting for AR-09 for Jan–Jun 2026 60 days from 6/30/2026 — which falls on 8/29/26 — so these materials will be included in the submission that includes August injections.</w:t>
      </w:r>
    </w:p>
    <w:p w14:paraId="3AD2FED6" w14:textId="77777777" w:rsidR="000E57DF" w:rsidRDefault="000E57DF"/>
    <w:p w14:paraId="4B873028" w14:textId="77777777" w:rsidR="000E57DF" w:rsidRDefault="00000000">
      <w:pPr>
        <w:spacing w:after="80"/>
      </w:pPr>
      <w:r>
        <w:rPr>
          <w:b/>
          <w:color w:val="1F3B57"/>
          <w:sz w:val="25"/>
        </w:rPr>
        <w:t>2.</w:t>
      </w:r>
      <w:r>
        <w:rPr>
          <w:b/>
          <w:color w:val="1F3B57"/>
          <w:sz w:val="25"/>
        </w:rPr>
        <w:tab/>
        <w:t>What still needs doing</w:t>
      </w:r>
    </w:p>
    <w:p w14:paraId="1C4F5543" w14:textId="77777777" w:rsidR="000E57DF" w:rsidRDefault="00000000">
      <w:pPr>
        <w:spacing w:after="80"/>
        <w:ind w:left="504"/>
      </w:pPr>
      <w:r>
        <w:t>1.</w:t>
      </w:r>
      <w:r>
        <w:tab/>
        <w:t>Alignment on the reversal-investigation workflow set out in Section 2.3.</w:t>
      </w:r>
    </w:p>
    <w:p w14:paraId="2A869FF1" w14:textId="77777777" w:rsidR="000E57DF" w:rsidRDefault="00000000">
      <w:pPr>
        <w:spacing w:after="80"/>
        <w:ind w:left="504"/>
      </w:pPr>
      <w:r>
        <w:t>2.</w:t>
      </w:r>
      <w:r>
        <w:tab/>
        <w:t>Capturing the above — the cadence changes and the Section 2.3 resolution — in a single signed operational agreement, carrying the same status as the existing SLA (written, dated, referenceable).</w:t>
      </w:r>
    </w:p>
    <w:p w14:paraId="4C62AC58" w14:textId="77777777" w:rsidR="00F50CF7" w:rsidRDefault="00F50CF7" w:rsidP="00F50CF7">
      <w:pPr>
        <w:spacing w:after="80"/>
      </w:pPr>
    </w:p>
    <w:sectPr w:rsidR="00F50C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068876">
    <w:abstractNumId w:val="8"/>
  </w:num>
  <w:num w:numId="2" w16cid:durableId="758797496">
    <w:abstractNumId w:val="6"/>
  </w:num>
  <w:num w:numId="3" w16cid:durableId="1268386161">
    <w:abstractNumId w:val="5"/>
  </w:num>
  <w:num w:numId="4" w16cid:durableId="1143737867">
    <w:abstractNumId w:val="4"/>
  </w:num>
  <w:num w:numId="5" w16cid:durableId="837381970">
    <w:abstractNumId w:val="7"/>
  </w:num>
  <w:num w:numId="6" w16cid:durableId="522522124">
    <w:abstractNumId w:val="3"/>
  </w:num>
  <w:num w:numId="7" w16cid:durableId="1050611051">
    <w:abstractNumId w:val="2"/>
  </w:num>
  <w:num w:numId="8" w16cid:durableId="1597010486">
    <w:abstractNumId w:val="1"/>
  </w:num>
  <w:num w:numId="9" w16cid:durableId="9793124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7DF"/>
    <w:rsid w:val="0015074B"/>
    <w:rsid w:val="0029639D"/>
    <w:rsid w:val="00326F90"/>
    <w:rsid w:val="0066101E"/>
    <w:rsid w:val="00AA1D8D"/>
    <w:rsid w:val="00B47730"/>
    <w:rsid w:val="00CB0664"/>
    <w:rsid w:val="00F50CF7"/>
    <w:rsid w:val="00FA11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2EACDD"/>
  <w14:defaultImageDpi w14:val="300"/>
  <w15:docId w15:val="{E24B989D-9A88-F74E-85C4-57D1B1B7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Bernard Lavine</cp:lastModifiedBy>
  <cp:revision>3</cp:revision>
  <dcterms:created xsi:type="dcterms:W3CDTF">2013-12-23T23:15:00Z</dcterms:created>
  <dcterms:modified xsi:type="dcterms:W3CDTF">2026-07-17T16:08:00Z</dcterms:modified>
  <cp:category/>
</cp:coreProperties>
</file>