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pPr>
        <w:spacing w:after="0" w:before="120" w:line="276" w:lineRule="auto"/>
      </w:pPr>
      <w:r>
        <w:rPr>
          <w:rFonts w:ascii="Arial" w:cs="Arial" w:eastAsia="Arial" w:hAnsi="Arial"/>
          <w:color w:val="434343"/>
          <w:b w:val="1"/>
          <w:bCs w:val="1"/>
          <w:i w:val="1"/>
          <w:iCs w:val="1"/>
          <w:sz w:val="24"/>
          <w:szCs w:val="24"/>
          <w:rtl w:val="0"/>
        </w:rPr>
        <w:t xml:space="preserve">1. Title……. 3</w:t>
      </w:r>
    </w:p>
    <w:p>
      <w:pPr>
        <w:spacing w:after="0" w:before="120" w:line="276" w:lineRule="auto"/>
      </w:pPr>
      <w:r>
        <w:rPr>
          <w:rFonts w:ascii="Arial" w:cs="Arial" w:eastAsia="Arial" w:hAnsi="Arial"/>
          <w:color w:val="434343"/>
          <w:b w:val="1"/>
          <w:bCs w:val="1"/>
          <w:i w:val="1"/>
          <w:iCs w:val="1"/>
          <w:sz w:val="24"/>
          <w:szCs w:val="24"/>
          <w:rtl w:val="0"/>
        </w:rPr>
        <w:t xml:space="preserve">2. Description……. 3</w:t>
      </w:r>
    </w:p>
    <w:p>
      <w:pPr>
        <w:spacing w:after="0" w:before="120" w:line="276" w:lineRule="auto"/>
      </w:pPr>
      <w:r>
        <w:rPr>
          <w:rFonts w:ascii="Arial" w:cs="Arial" w:eastAsia="Arial" w:hAnsi="Arial"/>
          <w:color w:val="434343"/>
          <w:b w:val="1"/>
          <w:bCs w:val="1"/>
          <w:i w:val="1"/>
          <w:iCs w:val="1"/>
          <w:sz w:val="24"/>
          <w:szCs w:val="24"/>
          <w:rtl w:val="0"/>
        </w:rPr>
        <w:t xml:space="preserve">3. Project Location(s)……. 3</w:t>
      </w:r>
    </w:p>
    <w:p>
      <w:pPr>
        <w:spacing w:after="0" w:before="120" w:line="276" w:lineRule="auto"/>
      </w:pPr>
      <w:r>
        <w:rPr>
          <w:rFonts w:ascii="Arial" w:cs="Arial" w:eastAsia="Arial" w:hAnsi="Arial"/>
          <w:color w:val="434343"/>
          <w:b w:val="1"/>
          <w:bCs w:val="1"/>
          <w:i w:val="1"/>
          <w:iCs w:val="1"/>
          <w:sz w:val="24"/>
          <w:szCs w:val="24"/>
          <w:rtl w:val="0"/>
        </w:rPr>
        <w:t xml:space="preserve">4. Project Participants……. 4</w:t>
      </w:r>
    </w:p>
    <w:p>
      <w:pPr>
        <w:spacing w:after="0" w:before="120" w:line="276" w:lineRule="auto"/>
      </w:pPr>
      <w:r>
        <w:rPr>
          <w:rFonts w:ascii="Arial" w:cs="Arial" w:eastAsia="Arial" w:hAnsi="Arial"/>
          <w:color w:val="434343"/>
          <w:b w:val="1"/>
          <w:bCs w:val="1"/>
          <w:i w:val="1"/>
          <w:iCs w:val="1"/>
          <w:sz w:val="24"/>
          <w:szCs w:val="24"/>
          <w:rtl w:val="0"/>
        </w:rPr>
        <w:t xml:space="preserve">5. Legal ownership of carbon removal claims……. 5</w:t>
      </w:r>
    </w:p>
    <w:p>
      <w:pPr>
        <w:spacing w:after="0" w:before="120" w:line="276" w:lineRule="auto"/>
      </w:pPr>
      <w:r>
        <w:rPr>
          <w:rFonts w:ascii="Arial" w:cs="Arial" w:eastAsia="Arial" w:hAnsi="Arial"/>
          <w:color w:val="434343"/>
          <w:b w:val="1"/>
          <w:bCs w:val="1"/>
          <w:i w:val="1"/>
          <w:iCs w:val="1"/>
          <w:sz w:val="24"/>
          <w:szCs w:val="24"/>
          <w:rtl w:val="0"/>
        </w:rPr>
        <w:t xml:space="preserve">6. Technical description of project activity……. 5</w:t>
      </w:r>
    </w:p>
    <w:p>
      <w:pPr>
        <w:spacing w:after="0" w:before="120" w:line="276" w:lineRule="auto"/>
      </w:pPr>
      <w:r>
        <w:rPr>
          <w:rFonts w:ascii="Arial" w:cs="Arial" w:eastAsia="Arial" w:hAnsi="Arial"/>
          <w:color w:val="434343"/>
          <w:b w:val="1"/>
          <w:bCs w:val="1"/>
          <w:i w:val="1"/>
          <w:iCs w:val="1"/>
          <w:sz w:val="24"/>
          <w:szCs w:val="24"/>
          <w:rtl w:val="0"/>
        </w:rPr>
        <w:t xml:space="preserve">7. Declaration of exclusive registration……. 7</w:t>
      </w:r>
    </w:p>
    <w:p>
      <w:pPr>
        <w:spacing w:after="0" w:before="120" w:line="276" w:lineRule="auto"/>
      </w:pPr>
      <w:r>
        <w:rPr>
          <w:rFonts w:ascii="Arial" w:cs="Arial" w:eastAsia="Arial" w:hAnsi="Arial"/>
          <w:color w:val="434343"/>
          <w:b w:val="1"/>
          <w:bCs w:val="1"/>
          <w:i w:val="1"/>
          <w:iCs w:val="1"/>
          <w:sz w:val="24"/>
          <w:szCs w:val="24"/>
          <w:rtl w:val="0"/>
        </w:rPr>
        <w:t xml:space="preserve">8. Public funding……. 7</w:t>
      </w:r>
    </w:p>
    <w:p>
      <w:pPr>
        <w:spacing w:after="0" w:before="120" w:line="276" w:lineRule="auto"/>
      </w:pPr>
      <w:r>
        <w:rPr>
          <w:rFonts w:ascii="Arial" w:cs="Arial" w:eastAsia="Arial" w:hAnsi="Arial"/>
          <w:color w:val="434343"/>
          <w:b w:val="1"/>
          <w:bCs w:val="1"/>
          <w:i w:val="1"/>
          <w:iCs w:val="1"/>
          <w:sz w:val="24"/>
          <w:szCs w:val="24"/>
          <w:rtl w:val="0"/>
        </w:rPr>
        <w:t xml:space="preserve">9. Estimated carbon removal capacity……. 7</w:t>
      </w:r>
    </w:p>
    <w:p>
      <w:pPr>
        <w:spacing w:after="0" w:before="120" w:line="276" w:lineRule="auto"/>
      </w:pPr>
      <w:r>
        <w:rPr>
          <w:rFonts w:ascii="Arial" w:cs="Arial" w:eastAsia="Arial" w:hAnsi="Arial"/>
          <w:color w:val="434343"/>
          <w:b w:val="1"/>
          <w:bCs w:val="1"/>
          <w:i w:val="1"/>
          <w:iCs w:val="1"/>
          <w:sz w:val="24"/>
          <w:szCs w:val="24"/>
          <w:rtl w:val="0"/>
        </w:rPr>
        <w:t xml:space="preserve">10. Selected Certified Protocol……. 8</w:t>
      </w:r>
    </w:p>
    <w:p>
      <w:pPr>
        <w:spacing w:after="0" w:before="120" w:line="276" w:lineRule="auto"/>
      </w:pPr>
      <w:r>
        <w:rPr>
          <w:rFonts w:ascii="Arial" w:cs="Arial" w:eastAsia="Arial" w:hAnsi="Arial"/>
          <w:color w:val="434343"/>
          <w:b w:val="1"/>
          <w:bCs w:val="1"/>
          <w:i w:val="1"/>
          <w:iCs w:val="1"/>
          <w:sz w:val="24"/>
          <w:szCs w:val="24"/>
          <w:rtl w:val="0"/>
        </w:rPr>
        <w:t xml:space="preserve">11. Project Eligibility……. 9</w:t>
      </w:r>
    </w:p>
    <w:p>
      <w:pPr>
        <w:spacing w:after="0" w:before="120" w:line="276" w:lineRule="auto"/>
      </w:pPr>
      <w:r>
        <w:rPr>
          <w:rFonts w:ascii="Arial" w:cs="Arial" w:eastAsia="Arial" w:hAnsi="Arial"/>
          <w:color w:val="434343"/>
          <w:b w:val="1"/>
          <w:bCs w:val="1"/>
          <w:i w:val="1"/>
          <w:iCs w:val="1"/>
          <w:sz w:val="24"/>
          <w:szCs w:val="24"/>
          <w:rtl w:val="0"/>
        </w:rPr>
        <w:t xml:space="preserve">12. Acknowledgement of responsibility for providing notification of changes to operations……. 9</w:t>
      </w:r>
    </w:p>
    <w:p>
      <w:pPr>
        <w:spacing w:after="0" w:before="120" w:line="276" w:lineRule="auto"/>
      </w:pPr>
      <w:r>
        <w:rPr>
          <w:rFonts w:ascii="Arial" w:cs="Arial" w:eastAsia="Arial" w:hAnsi="Arial"/>
          <w:color w:val="434343"/>
          <w:b w:val="1"/>
          <w:bCs w:val="1"/>
          <w:i w:val="1"/>
          <w:iCs w:val="1"/>
          <w:sz w:val="24"/>
          <w:szCs w:val="24"/>
          <w:rtl w:val="0"/>
        </w:rPr>
        <w:t xml:space="preserve">13. Project Boundary……. 10</w:t>
      </w:r>
    </w:p>
    <w:p>
      <w:pPr>
        <w:spacing w:after="0" w:before="120" w:line="276" w:lineRule="auto"/>
      </w:pPr>
      <w:r>
        <w:rPr>
          <w:rFonts w:ascii="Arial" w:cs="Arial" w:eastAsia="Arial" w:hAnsi="Arial"/>
          <w:color w:val="434343"/>
          <w:b w:val="1"/>
          <w:bCs w:val="1"/>
          <w:i w:val="1"/>
          <w:iCs w:val="1"/>
          <w:sz w:val="24"/>
          <w:szCs w:val="24"/>
          <w:rtl w:val="0"/>
        </w:rPr>
        <w:t xml:space="preserve">14. Baseline Scenario……. 19</w:t>
      </w:r>
    </w:p>
    <w:p>
      <w:pPr>
        <w:spacing w:after="0" w:before="120" w:line="276" w:lineRule="auto"/>
      </w:pPr>
      <w:r>
        <w:rPr>
          <w:rFonts w:ascii="Arial" w:cs="Arial" w:eastAsia="Arial" w:hAnsi="Arial"/>
          <w:color w:val="434343"/>
          <w:b w:val="1"/>
          <w:bCs w:val="1"/>
          <w:i w:val="1"/>
          <w:iCs w:val="1"/>
          <w:sz w:val="24"/>
          <w:szCs w:val="24"/>
          <w:rtl w:val="0"/>
        </w:rPr>
        <w:t xml:space="preserve">15. Leakage Assessment……. 19</w:t>
      </w:r>
    </w:p>
    <w:p>
      <w:pPr>
        <w:spacing w:after="0" w:before="120" w:line="276" w:lineRule="auto"/>
      </w:pPr>
      <w:r>
        <w:rPr>
          <w:rFonts w:ascii="Arial" w:cs="Arial" w:eastAsia="Arial" w:hAnsi="Arial"/>
          <w:color w:val="434343"/>
          <w:b w:val="1"/>
          <w:bCs w:val="1"/>
          <w:i w:val="1"/>
          <w:iCs w:val="1"/>
          <w:sz w:val="24"/>
          <w:szCs w:val="24"/>
          <w:rtl w:val="0"/>
        </w:rPr>
        <w:t xml:space="preserve">16. Demonstration of Additionality: Financial……. 20</w:t>
      </w:r>
    </w:p>
    <w:p>
      <w:pPr>
        <w:spacing w:after="0" w:before="120" w:line="276" w:lineRule="auto"/>
      </w:pPr>
      <w:r>
        <w:rPr>
          <w:rFonts w:ascii="Arial" w:cs="Arial" w:eastAsia="Arial" w:hAnsi="Arial"/>
          <w:color w:val="434343"/>
          <w:b w:val="1"/>
          <w:bCs w:val="1"/>
          <w:i w:val="1"/>
          <w:iCs w:val="1"/>
          <w:sz w:val="24"/>
          <w:szCs w:val="24"/>
          <w:rtl w:val="0"/>
        </w:rPr>
        <w:t xml:space="preserve">17. Demonstration of Additionality: Environmental……. 20</w:t>
      </w:r>
    </w:p>
    <w:p>
      <w:pPr>
        <w:spacing w:after="0" w:before="120" w:line="276" w:lineRule="auto"/>
      </w:pPr>
      <w:r>
        <w:rPr>
          <w:rFonts w:ascii="Arial" w:cs="Arial" w:eastAsia="Arial" w:hAnsi="Arial"/>
          <w:color w:val="434343"/>
          <w:b w:val="1"/>
          <w:bCs w:val="1"/>
          <w:i w:val="1"/>
          <w:iCs w:val="1"/>
          <w:sz w:val="24"/>
          <w:szCs w:val="24"/>
          <w:rtl w:val="0"/>
        </w:rPr>
        <w:t xml:space="preserve">18. Demonstration of Additionality: Regulatory……. 21</w:t>
      </w:r>
    </w:p>
    <w:p>
      <w:pPr>
        <w:spacing w:after="0" w:before="120" w:line="276" w:lineRule="auto"/>
      </w:pPr>
      <w:r>
        <w:rPr>
          <w:rFonts w:ascii="Arial" w:cs="Arial" w:eastAsia="Arial" w:hAnsi="Arial"/>
          <w:color w:val="434343"/>
          <w:b w:val="1"/>
          <w:bCs w:val="1"/>
          <w:i w:val="1"/>
          <w:iCs w:val="1"/>
          <w:sz w:val="24"/>
          <w:szCs w:val="24"/>
          <w:rtl w:val="0"/>
        </w:rPr>
        <w:t xml:space="preserve">19. Durability Assessment……. 21</w:t>
      </w:r>
    </w:p>
    <w:p>
      <w:pPr>
        <w:spacing w:after="0" w:before="120" w:line="276" w:lineRule="auto"/>
      </w:pPr>
      <w:r>
        <w:rPr>
          <w:rFonts w:ascii="Arial" w:cs="Arial" w:eastAsia="Arial" w:hAnsi="Arial"/>
          <w:color w:val="434343"/>
          <w:b w:val="1"/>
          <w:bCs w:val="1"/>
          <w:i w:val="1"/>
          <w:iCs w:val="1"/>
          <w:sz w:val="24"/>
          <w:szCs w:val="24"/>
          <w:rtl w:val="0"/>
        </w:rPr>
        <w:t xml:space="preserve">20. Monitoring Plan……. 21</w:t>
      </w:r>
    </w:p>
    <w:p>
      <w:pPr>
        <w:spacing w:after="0" w:before="120" w:line="276" w:lineRule="auto"/>
      </w:pPr>
      <w:r>
        <w:rPr>
          <w:rFonts w:ascii="Arial" w:cs="Arial" w:eastAsia="Arial" w:hAnsi="Arial"/>
          <w:color w:val="434343"/>
          <w:b w:val="1"/>
          <w:bCs w:val="1"/>
          <w:i w:val="1"/>
          <w:iCs w:val="1"/>
          <w:sz w:val="24"/>
          <w:szCs w:val="24"/>
          <w:rtl w:val="0"/>
        </w:rPr>
        <w:t xml:space="preserve">21. Data collection and storage……. 22</w:t>
      </w:r>
    </w:p>
    <w:p>
      <w:pPr>
        <w:spacing w:after="0" w:before="120" w:line="276" w:lineRule="auto"/>
      </w:pPr>
      <w:r>
        <w:rPr>
          <w:rFonts w:ascii="Arial" w:cs="Arial" w:eastAsia="Arial" w:hAnsi="Arial"/>
          <w:color w:val="434343"/>
          <w:b w:val="1"/>
          <w:bCs w:val="1"/>
          <w:i w:val="1"/>
          <w:iCs w:val="1"/>
          <w:sz w:val="24"/>
          <w:szCs w:val="24"/>
          <w:rtl w:val="0"/>
        </w:rPr>
        <w:t xml:space="preserve">22. Reversals……. 25</w:t>
      </w:r>
    </w:p>
    <w:p>
      <w:pPr>
        <w:spacing w:after="0" w:before="120" w:line="276" w:lineRule="auto"/>
      </w:pPr>
      <w:r>
        <w:rPr>
          <w:rFonts w:ascii="Arial" w:cs="Arial" w:eastAsia="Arial" w:hAnsi="Arial"/>
          <w:color w:val="434343"/>
          <w:b w:val="1"/>
          <w:bCs w:val="1"/>
          <w:i w:val="1"/>
          <w:iCs w:val="1"/>
          <w:sz w:val="24"/>
          <w:szCs w:val="24"/>
          <w:rtl w:val="0"/>
        </w:rPr>
        <w:t xml:space="preserve">23. Uncertainty assessment……. 25</w:t>
      </w:r>
    </w:p>
    <w:p>
      <w:pPr>
        <w:spacing w:after="0" w:before="120" w:line="276" w:lineRule="auto"/>
      </w:pPr>
      <w:r>
        <w:rPr>
          <w:rFonts w:ascii="Arial" w:cs="Arial" w:eastAsia="Arial" w:hAnsi="Arial"/>
          <w:color w:val="434343"/>
          <w:b w:val="1"/>
          <w:bCs w:val="1"/>
          <w:i w:val="1"/>
          <w:iCs w:val="1"/>
          <w:sz w:val="24"/>
          <w:szCs w:val="24"/>
          <w:rtl w:val="0"/>
        </w:rPr>
        <w:t xml:space="preserve">24. Use of Models……. 25</w:t>
      </w:r>
    </w:p>
    <w:p>
      <w:pPr>
        <w:spacing w:after="0" w:before="120" w:line="276" w:lineRule="auto"/>
      </w:pPr>
      <w:r>
        <w:rPr>
          <w:rFonts w:ascii="Arial" w:cs="Arial" w:eastAsia="Arial" w:hAnsi="Arial"/>
          <w:color w:val="434343"/>
          <w:b w:val="1"/>
          <w:bCs w:val="1"/>
          <w:i w:val="1"/>
          <w:iCs w:val="1"/>
          <w:sz w:val="24"/>
          <w:szCs w:val="24"/>
          <w:rtl w:val="0"/>
        </w:rPr>
        <w:t xml:space="preserve">25. Project Timeline……. 26</w:t>
      </w:r>
    </w:p>
    <w:p>
      <w:pPr>
        <w:spacing w:after="0" w:before="120" w:line="276" w:lineRule="auto"/>
      </w:pPr>
      <w:r>
        <w:rPr>
          <w:rFonts w:ascii="Arial" w:cs="Arial" w:eastAsia="Arial" w:hAnsi="Arial"/>
          <w:color w:val="434343"/>
          <w:b w:val="1"/>
          <w:bCs w:val="1"/>
          <w:i w:val="1"/>
          <w:iCs w:val="1"/>
          <w:sz w:val="24"/>
          <w:szCs w:val="24"/>
          <w:rtl w:val="0"/>
        </w:rPr>
        <w:t xml:space="preserve">26. Project closure……. 26</w:t>
      </w:r>
    </w:p>
    <w:p>
      <w:pPr>
        <w:spacing w:after="0" w:before="120" w:line="276" w:lineRule="auto"/>
      </w:pPr>
      <w:r>
        <w:rPr>
          <w:rFonts w:ascii="Arial" w:cs="Arial" w:eastAsia="Arial" w:hAnsi="Arial"/>
          <w:color w:val="434343"/>
          <w:b w:val="1"/>
          <w:bCs w:val="1"/>
          <w:i w:val="1"/>
          <w:iCs w:val="1"/>
          <w:sz w:val="24"/>
          <w:szCs w:val="24"/>
          <w:rtl w:val="0"/>
        </w:rPr>
        <w:t xml:space="preserve">27. Crediting Period……. 26</w:t>
      </w:r>
    </w:p>
    <w:p>
      <w:pPr>
        <w:spacing w:after="0" w:before="120" w:line="276" w:lineRule="auto"/>
      </w:pPr>
      <w:r>
        <w:rPr>
          <w:rFonts w:ascii="Arial" w:cs="Arial" w:eastAsia="Arial" w:hAnsi="Arial"/>
          <w:color w:val="434343"/>
          <w:b w:val="1"/>
          <w:bCs w:val="1"/>
          <w:i w:val="1"/>
          <w:iCs w:val="1"/>
          <w:sz w:val="24"/>
          <w:szCs w:val="24"/>
          <w:rtl w:val="0"/>
        </w:rPr>
        <w:t xml:space="preserve">28. Environmental and Social Impacts……. 27</w:t>
      </w:r>
    </w:p>
    <w:p>
      <w:pPr>
        <w:spacing w:after="0" w:before="120" w:line="276" w:lineRule="auto"/>
      </w:pPr>
      <w:r>
        <w:rPr>
          <w:rFonts w:ascii="Arial" w:cs="Arial" w:eastAsia="Arial" w:hAnsi="Arial"/>
          <w:color w:val="434343"/>
          <w:b w:val="1"/>
          <w:bCs w:val="1"/>
          <w:i w:val="1"/>
          <w:iCs w:val="1"/>
          <w:sz w:val="24"/>
          <w:szCs w:val="24"/>
          <w:rtl w:val="0"/>
        </w:rPr>
        <w:t xml:space="preserve">29. Stakeholder Input Process……. 32</w:t>
      </w:r>
    </w:p>
    <w:p>
      <w:pPr>
        <w:spacing w:after="0" w:before="120" w:line="276" w:lineRule="auto"/>
      </w:pPr>
      <w:r>
        <w:rPr>
          <w:rFonts w:ascii="Arial" w:cs="Arial" w:eastAsia="Arial" w:hAnsi="Arial"/>
          <w:color w:val="434343"/>
          <w:b w:val="1"/>
          <w:bCs w:val="1"/>
          <w:i w:val="1"/>
          <w:iCs w:val="1"/>
          <w:sz w:val="24"/>
          <w:szCs w:val="24"/>
          <w:rtl w:val="0"/>
        </w:rPr>
        <w:t xml:space="preserve">30. Project Changes……. 33</w:t>
      </w:r>
    </w:p>
    <w:p>
      <w:pPr>
        <w:spacing w:after="0" w:before="120" w:line="276" w:lineRule="auto"/>
      </w:pPr>
      <w:r>
        <w:rPr>
          <w:rFonts w:ascii="Arial" w:cs="Arial" w:eastAsia="Arial" w:hAnsi="Arial"/>
          <w:color w:val="434343"/>
          <w:b w:val="1"/>
          <w:bCs w:val="1"/>
          <w:i w:val="1"/>
          <w:iCs w:val="1"/>
          <w:sz w:val="24"/>
          <w:szCs w:val="24"/>
          <w:rtl w:val="0"/>
        </w:rPr>
        <w:t xml:space="preserve">31. BCU Calculation Methodology……. 39</w:t>
      </w:r>
      <w:r>
        <w:br w:type="page"/>
      </w:r>
    </w:p>
    <w:p>
      <w:pPr>
        <w:pStyle w:val="Heading2"/>
      </w:pPr>
      <w:r>
        <w:rPr/>
        <w:t xml:space="preserve">1. Title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 Description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Charm’s injection site in Evangeline Parish, LA, where it is treated to fit the local regulatory requirements for injection.</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 Project Location(s)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40.045901, -104.802594</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37.966101, -97.940955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4. Project Participants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5. Legal ownership of carbon removal claims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6. Technical description of project activity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Basco 6 site in Evangeline Parish, LA. At this facility, the oil is introduced to our material tanks and treatment system.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is injected through Charm’s Basco 6 injection well in Evangeline Parish, LA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Tier 2: Combined Monitoring and Emissions Accounting Plan.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7. Declaration of exclusive registration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8. Public funding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9. Estimated carbon removal capacity</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10. Selected Certified Protocol</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11. Project Eligibility</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12. Acknowledgement of responsibility for providing notification of changes to operations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13. Project Boundary</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Tier 1: Feedstock Sources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Tier 1: Feedstock Sources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14. Baseline Scenario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The biomass Charm sources are forest residues (green logs) harvested from government funded, managed, or otherwise supported forest management projects with the goal of wildfire mitigation, amongst other co-benefits. The bio-oil Charm sources from AECN is produced using residues, primarily sawdust, generated by the Arbec lumber mill adjacent to AECN’s pyrolysis facility. The Basco 6 EW Well is a former saltwater disposal well located in Evangeline Parish, LA.</w:t>
            </w:r>
          </w:p>
          <w:p w:rsidR="00000000" w:rsidDel="00000000" w:rsidP="00000000" w:rsidRDefault="00000000" w:rsidRPr="00000000">
            <w:pPr>
              <w:widowControl w:val="0"/>
              <w:rPr>
                <w:b w:val="1"/>
                <w:bCs w:val="1"/>
              </w:rPr>
            </w:pPr>
          </w:p>
          <w:p w:rsidR="00000000" w:rsidDel="00000000" w:rsidP="00000000" w:rsidRDefault="00000000" w:rsidRPr="00000000">
            <w:pPr>
              <w:widowControl w:val="0"/>
              <w:rPr/>
            </w:pPr>
            <w:r>
              <w:rPr>
                <w:rtl w:val="0"/>
              </w:rPr>
              <w:t xml:space="preserve">Charm Fort Lupton: see Tier 1: Production Facility — Charm Fort Lupton, Baseline Scenario.</w:t>
            </w:r>
          </w:p>
          <w:p w:rsidR="00000000" w:rsidDel="00000000" w:rsidP="00000000" w:rsidRDefault="00000000" w:rsidRPr="00000000">
            <w:pPr>
              <w:widowControl w:val="0"/>
              <w:rPr/>
            </w:pPr>
            <w:r>
              <w:rPr>
                <w:rtl w:val="0"/>
              </w:rPr>
              <w:t xml:space="preserve">AECN Port-Cartier: see Tier 1: Production Facility — AECN Port-Cartier, Baseline Scenario.</w:t>
            </w:r>
          </w:p>
          <w:p w:rsidR="00000000" w:rsidDel="00000000" w:rsidP="00000000" w:rsidRDefault="00000000" w:rsidRPr="00000000">
            <w:pPr>
              <w:widowControl w:val="0"/>
              <w:rPr/>
            </w:pPr>
            <w:r>
              <w:rPr>
                <w:rtl w:val="0"/>
              </w:rPr>
              <w:t xml:space="preserve">Basco 6 EW: see Tier 1: Injection Facility — Basco 6 EW, Baseline Scenario.</w:t>
            </w:r>
          </w:p>
          <w:p w:rsidR="00000000" w:rsidDel="00000000" w:rsidP="00000000" w:rsidRDefault="00000000" w:rsidRPr="00000000">
            <w:pPr>
              <w:widowControl w:val="0"/>
              <w:rPr/>
            </w:pPr>
            <w:r>
              <w:rPr>
                <w:rtl w:val="0"/>
              </w:rPr>
              <w:t xml:space="preserve">Vaulted Hutchinson KS: see Tier 1: Injection Facility — Vaulted Hutchinson KS, Baseline Scenario.</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15. Leakage Assessment</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16. Demonstration of Additionality: Financial</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17. Demonstration of Additionality: Environmental</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18. Demonstration of Additionality: Regulatory</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19. Durability Assessment</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Pr>
                <w:rtl w:val="0"/>
              </w:rPr>
              <w:t xml:space="preserve">See Tier 1: Injection Facility — Basco 6 EW and Tier 1: Injection Facility — Vaulted Hutchinson KS, Durability Assessment.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20. Monitoring Plan</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Monitored parameters, methods, frequencies, documentation and uncertainty treatment for every lifecycle stage and storage site are set out in the Tier 2: Combined Monitoring and Emissions Accounting Plan. Reversal reporting is described in the Tier 1: Injection Facility documents.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21. Data collection and storage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pPr>
              <w:widowControl w:val="0"/>
              <w:numPr>
                <w:ilvl w:val="0"/>
                <w:numId w:val="17"/>
              </w:numPr>
              <w:ind w:left="720" w:hanging="360"/>
              <w:rPr/>
            </w:pPr>
            <w:r>
              <w:rPr>
                <w:rtl w:val="0"/>
              </w:rPr>
              <w:t xml:space="preserve">Data Transmission and Collection</w:t>
            </w:r>
          </w:p>
          <w:p w:rsidR="00000000" w:rsidDel="00000000" w:rsidP="00000000" w:rsidRDefault="00000000" w:rsidRPr="00000000">
            <w:pPr>
              <w:widowControl w:val="0"/>
              <w:numPr>
                <w:ilvl w:val="1"/>
                <w:numId w:val="17"/>
              </w:numPr>
              <w:ind w:left="1440" w:hanging="360"/>
              <w:rPr/>
            </w:pPr>
            <w:r>
              <w:rPr>
                <w:rtl w:val="0"/>
              </w:rPr>
              <w:t xml:space="preserve">How each parameter is collected, transmitted and documented is set out per parameter in the Tier 2: Combined Monitoring and Emissions Accounting Plan (Data Collection Method and Documentation columns).</w:t>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Tier 2: Combined Monitoring and Emissions Accounting Plan,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22. Reversals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Please complete a reversal risk assessment for your Project, including consideration of the guidance in the Risk of Reversal Questionnaire below.</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Overall risk of reversal: </w:t>
            </w:r>
            <w:r>
              <w:rPr>
                <w:bCs w:val="1"/>
                <w:b w:val="1"/>
                <w:rtl w:val="0"/>
              </w:rPr>
              <w:t xml:space="preserve">Very low (0)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See Tier 1: Injection Facility — Basco 6 EW and Tier 1: Injection Facility — Vaulted Hutchinson KS, Reversals, for the risk of reversal questionnaire and reversal reporting.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23. Uncertainty assessment</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Specify how uncertainty is considered, and how removals are to be conservatively estimated, in accordance with Section 2.5.7 “Uncertainty” of the Isometric Standard.</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Pr>
                <w:i w:val="1"/>
                <w:iCs w:val="1"/>
                <w:rtl w:val="0"/>
              </w:rPr>
              <w:t xml:space="preserve">Please specify which option(s) were used in consideration of uncertainty (one or multiple options).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Conservative estimate of input parameters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provide a sensitivity analysis.</w:t>
            </w:r>
          </w:p>
          <w:p w:rsidR="00000000" w:rsidDel="00000000" w:rsidP="00000000" w:rsidRDefault="00000000" w:rsidRPr="00000000">
            <w:pPr>
              <w:rPr/>
            </w:pPr>
          </w:p>
          <w:p w:rsidR="00000000" w:rsidDel="00000000" w:rsidP="00000000" w:rsidRDefault="00000000" w:rsidRPr="00000000">
            <w:pPr>
              <w:rPr/>
            </w:pPr>
            <w:r>
              <w:rPr>
                <w:rtl w:val="0"/>
              </w:rPr>
              <w:t xml:space="preserve">Parameter-level sensitivity results and the modifications applied to each measured parameter are set out in the Tier 2: Combined Monitoring and Emissions Accounting Plan (Sensitivity Analysis tab; Modifications to Address Uncertainty column).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24. Use of Models</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Tier 2: Combined Monitoring and Emissions Accounting Plan and are incorporated into the Process Emissions emission factor for pyrolysis.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25. Project Timeline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26. Project closure</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See Tier 1: Injection Facility — Basco 6 EW and Tier 1: Injection Facility — Vaulted Hutchinson KS, Project Closure.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27. Crediting Period</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28. Environmental and Social Impacts</w:t>
      </w:r>
    </w:p>
    <w:p>
      <w:pPr>
        <w:pStyle w:val="Heading3"/>
      </w:pPr>
      <w:r>
        <w:rPr/>
        <w:t xml:space="preserve">28.1 Sustainable Development Impact</w:t>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28.2 Analysis of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pPr>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color w:val="172b4d"/>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28.3 Additional risks</w:t>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29.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Stakeholder Input Process.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29.1 Grievance Mechanism</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rPr>
                <w:b w:val="1"/>
                <w:bCs w:val="1"/>
              </w:rPr>
            </w:pPr>
            <w:r>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outline the mechanism for stakeholders to voice, process and resolve grievances.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spacing w:line="276" w:lineRule="auto"/>
              <w:rPr/>
            </w:pPr>
            <w:r>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Grievance Mechanism.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30. Project Changes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31.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headerReference w:type="default" r:id="rId12"/>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