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Charm Industrial Bio-Oil Geologic Storage + Range &amp; Plains Biochar Design Document — Injection Facility</w:t>
      </w:r>
    </w:p>
    <w:p>
      <w:pPr>
        <w:pStyle w:val="Heading1"/>
      </w:pPr>
      <w:r>
        <w:t>Charm — Basco 6 EW (Evangeline Parish, LA)</w:t>
      </w:r>
    </w:p>
    <w:p>
      <w:pPr>
        <w:pStyle w:val="Heading2"/>
      </w:pPr>
      <w:r>
        <w:t>1. Site Location</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location (Address / GPS coordinates): 30.916251, -92.297908</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Regulatory Authority / Jurisdiction: Evangeline Parish, Louisiana</w:t>
            </w:r>
          </w:p>
        </w:tc>
      </w:tr>
    </w:tbl>
    <w:p/>
    <w:p>
      <w:pPr>
        <w:pStyle w:val="Heading2"/>
      </w:pPr>
      <w:r>
        <w:t xml:space="preserve">2. Baseline Scenario</w:t>
      </w:r>
    </w:p>
    <w:p w:rsidR="00000000" w:rsidDel="00000000" w:rsidP="00000000" w:rsidRDefault="00000000" w:rsidRPr="00000000">
      <w:pPr>
        <w:widowControl w:val="0"/>
        <w:rPr/>
      </w:pPr>
      <w:r w:rsidDel="00000000" w:rsidR="00000000" w:rsidRPr="00000000">
        <w:rPr>
          <w:rtl w:val="0"/>
        </w:rPr>
        <w:t xml:space="preserve">The Basco 6 EW Well is a former saltwater disposal well located in Evangeline Parish, LA. It was drilled in 2011 and, while active, injected nearly 20,000 bbls of produced water before transitioning to orphan well status in 2016. Despite efforts to plug orphaned wells in Louisiana, their number has continued to grow. Between October 2023 and April 2024, the LDENR recorded a 12.4% increase in the number of orphaned wells statewide, with a total count of 4,785 wells. Given this state of affairs, the likely fate of the Basco 6 EW Well absent remediation by Charm to support bio-oil storage would be continued deterioration as an unplugged, orphaned oil and gas asset. Left in such a condition, these wells pose the risk of long-term environmental and economic harm to the surrounding ecosystems and communities.</w:t>
      </w:r>
    </w:p>
    <w:p>
      <w:pPr>
        <w:pStyle w:val="Heading2"/>
      </w:pPr>
      <w:r>
        <w:t xml:space="preserve">3. Durability Assessment</w:t>
      </w:r>
    </w:p>
    <w:p>
      <w:pPr/>
      <w:r>
        <w:t xml:space="preserve">Charm’s durability assessment of Basco 6 is as follows: The Lower Miocene sandstone formation ~3500’ below the Basco 6 wellhead has been characterized and assessed for the performance required to ensure durable storage of injected bio-oil. The primary considerations in assessing durability were the sequestration reservoir thickness and reservoir quality relative to adjacent confining layers, demonstration of wellbore integrity, and lack of offset activity in the sequestration zone in the region. In the course of this assessment Charm determined that the pressure required to pump bio-oil into the formation would be consistent with a typical injection formation (normally pressured or below) without exceeding maximum allowable injection pressure, and that the formation brine density is sufficiently lower than that of bio-oil. This ensures that Charm can pump bio-oil under the regulatory requirements and that upon entry into the formation, the bio-oil will sink as predicted. In addition, Charm performed a mechanical integrity test to ensure casing integrity and performed an advanced cement analysis to ensure hydraulic seal from the formation and the wellbore. The wellbore is proven to be in good mechanical condition and the formation is of sufficient injectivity and storage size. Given the above, we are confident in our assessment that the Lower Miocene zone penetrated by the Basco 6 EW  possesses the characteristics required for bio-oil storage on a 1000+ year timeline. In addition, measures taken to monitor the durable storage of bio-oil are detailed in the Permanence Monitoring and Permit Compliance Plan in section 10</w:t>
      </w:r>
    </w:p>
    <w:p>
      <w:pPr>
        <w:pStyle w:val="Heading2"/>
      </w:pPr>
      <w:r>
        <w:t xml:space="preserve">4. Reversals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Reversals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Overall risk of reversal (based on risk reversal questionnaire score; please select one):</w:t>
            </w:r>
          </w:p>
          <w:p>
            <w:r>
              <w:t>Very low (0)</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use of pyrolysis oil significantly reduces the risk of methane production arising from anaerobic decomposition of organic materials. Because pyrolysis is a reaction that occurs in a high-heat, low oxygen environment, the oil does not contain compounds that would support the microbial life required for anaerobic decay. This is confirmed by a peer-reviewed chemical characterization of pyrolysis bio-oil from multiple feedstocks (Negahdar et al., 2016) and a specific analysis of pyrolysis oil commissioned by Charm that are included in the supporting documents for this PDD</w:t>
            </w:r>
          </w:p>
        </w:tc>
      </w:tr>
    </w:tbl>
    <w:p/>
    <w:p>
      <w:pPr>
        <w:pStyle w:val="Heading3"/>
      </w:pPr>
      <w:r>
        <w:t xml:space="preserve">Reversal Reporting</w:t>
      </w:r>
    </w:p>
    <w:p>
      <w:pPr>
        <w:pStyle w:val="ListBullet"/>
        <w:keepNext/>
      </w:pPr>
      <w:r>
        <w:t xml:space="preserve">Reversals</w:t>
      </w:r>
    </w:p>
    <w:p>
      <w:pPr>
        <w:pStyle w:val="ListBullet2"/>
      </w:pPr>
      <w:r>
        <w:t xml:space="preserve">In the event that a gaseous release at the wellhead should trigger a gas monitoring alarm, the well operator has affirmed that they will contact Charm within a 2-hour period. </w:t>
      </w:r>
    </w:p>
    <w:p>
      <w:pPr>
        <w:pStyle w:val="ListBullet3"/>
      </w:pPr>
      <w:r>
        <w:t xml:space="preserve">Charm, Isometric, and the VVB have agreed that it is more appropriate for the well operator to notify Charm regarding a wellhead gas alarm being triggered rather than the VVB as prescribed in Bio-oil Storage in Permeable Reservoirs module Section 3.1.1. This is because 1)  additional context-specific investigation is necessary to establish whether the triggering alarm is or is not indicative of a reversal, and 2) the well operator has their alarms set to conservative trigger points below levels that would indicate a reportable event so that any anomaly is investigated before it becomes a larger issue. </w:t>
      </w:r>
    </w:p>
    <w:p>
      <w:pPr>
        <w:pStyle w:val="ListBullet3"/>
      </w:pPr>
      <w:r>
        <w:t xml:space="preserve">Any identified reversal will be promptly reported to Isometric and the VVB and investigated by Charm – Reports will be made between 1 and 3 business days from the identification of a gaseous release per Section 5.6.1 of the Isometric Standard</w:t>
      </w:r>
    </w:p>
    <w:p>
      <w:pPr>
        <w:pStyle w:val="ListBullet3"/>
      </w:pPr>
      <w:r>
        <w:t xml:space="preserve">Relevant monitoring data will be included for the next Verification to be assessed by the VVB per Section 5.6.1 of the Isometric Standard and Section 3.1.1 of the Bio-oil Storage in Permeable Reservoirs module</w:t>
      </w:r>
    </w:p>
    <w:p>
      <w:pPr>
        <w:pStyle w:val="ListBullet2"/>
      </w:pPr>
      <w:r>
        <w:t xml:space="preserve">The well operator has installed a detection system for hydrocarbons and methane at the wellhead</w:t>
      </w:r>
    </w:p>
    <w:p>
      <w:pPr>
        <w:pStyle w:val="Heading3"/>
      </w:pPr>
      <w:r>
        <w:t>Risk of Reversal Questionnaire</w:t>
      </w:r>
    </w:p>
    <w:tbl>
      <w:tblPr>
        <w:tblStyle w:val="Table27"/>
        <w:tblW w:w="8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
        <w:gridCol w:w="3021"/>
        <w:gridCol w:w="2543"/>
        <w:gridCol w:w="1265"/>
        <w:gridCol w:w="1264"/>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Question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If answered “Yes”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If answered “No”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Response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a reversal directly observable with a physical or chemical measurement as opposed to a modeled result?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2-8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7-8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Yes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 carbon being stored in a closed or impermeable system? (e.g., salt cavern)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10-11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Proceed to questions 3-11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Yes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 carbon being stored organic?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scientific consensus suggest that the carbon storage reservoir has a less than 10,000 year durability?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methane production a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approach have a material risk of reversal due to natural disasters including, but not limited to, floods, storms, earthquakes, fires, etc.?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approach have a material risk of reversal due to human-induced events from outside actors, such as change in farming practices, change in ownership and management of Project sites, or similar?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22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[Applicable only for subsurface storage] Is the carbon being stored in the deep subsurface with multiple trapping mechanisms preventing reversals? (e.g., multiple confining layers, CO₂ dissolves or solidifies)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there 10+ years of monitoring and/or lab data demonstrating low project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Minus 1 to risk (unless 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N/A</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Does this pathway have a documented history of reversals?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Please consider the frequency and severity of previous reversals, and the shared characteristics between documented reversals and the present project. For pathways with no documented history of reversals, add 0 to the Risk Score. For pathways with a history of frequent reversal, add 2 to Risk Score. For pathways with a limited history of reversals, add 1 to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r>
        <w:trPr>
          <w:cantSplit w:val="0"/>
          <w:trHeight w:val="4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Is there one or more Project-specific factors that merit a high risk level?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Please consider the number and severity of risks identified. If one low or  medium severity risk is identified, add 1 to Risk Score. If multiple risks are identified, or if any high severity risks are identified, add 2 to Risk Score</w:t>
            </w:r>
          </w:p>
          <w:p w:rsidR="00000000" w:rsidDel="00000000" w:rsidP="00000000" w:rsidRDefault="00000000" w:rsidRPr="00000000">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r>
        <w:trPr>
          <w:cantSplit w:val="0"/>
          <w:trHeight w:val="690" w:hRule="atLeast"/>
          <w:tblHeader w:val="0"/>
        </w:trPr>
        <w:tc>
          <w:tcPr>
            <w:gridSpan w:val="4"/>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Total Risk Score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pPr>
              <w:rPr/>
            </w:pPr>
            <w:r w:rsidDel="00000000" w:rsidR="00000000" w:rsidRPr="00000000">
              <w:rPr>
                <w:rtl w:val="0"/>
              </w:rPr>
              <w:t xml:space="preserve">0</w:t>
            </w:r>
          </w:p>
        </w:tc>
      </w:tr>
    </w:tbl>
    <w:p>
      <w:pPr>
        <w:pStyle w:val="Heading2"/>
      </w:pPr>
      <w:r>
        <w:t xml:space="preserve">5. Storage Well Overview</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[Storage Module] Storage well overview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Storage well/site description:</w:t>
            </w:r>
          </w:p>
          <w:p>
            <w:r>
              <w:t xml:space="preserve">Charm has converted the formerly orphaned Basco 6 Class II SWD to a permitted Class V for the purpose of injecting the bio-oil into subsurface geologic formations. The wellbore configuration, depicted here in the wellbore diagram, is completed in the Lower Miocene formation from 3,492-3,534’ KB. The LDENR Order for Class V injection permits the zone from 1,600 to 3,685’ KB. For additional details on the physical characterization of the subsurface features of the well, please refer to section 12, Supplementary Subsurface Characterization.</w:t>
            </w:r>
          </w:p>
          <w:p>
            <w:r/>
          </w:p>
          <w:p>
            <w:r>
              <w:t>Charm will also construct and install surface bio-oil receiving facilities, temporary storage, and an injectate circulation and pump delivery system, all of which will be located largely within the existing boundaries of the existing improved well pad area at the injection well site.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 xml:space="preserve">For details regarding Charm’s well monitoring plan please refer to section 10, Permanence Monitoring and Permit Compliance Plan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Well Class (if applicable): Class V</w:t>
            </w:r>
          </w:p>
          <w:p>
            <w:r>
              <w:t>Permit number: IMD 2025-05 EW</w:t>
            </w:r>
          </w:p>
          <w:p>
            <w:r>
              <w:t>Permitting authority: Louisiana Department of Environment and Natural Resources</w:t>
            </w:r>
          </w:p>
          <w:p>
            <w:r>
              <w:t>Permit validity start date: 8/8/2025</w:t>
            </w:r>
          </w:p>
          <w:p>
            <w:r>
              <w:t>Permit validity end date: 8/7/2030</w:t>
            </w:r>
          </w:p>
          <w:p>
            <w:r>
              <w:t>Well/site storage capacity (total): Estimated range: 465,000 to 840,000 MT</w:t>
            </w:r>
          </w:p>
          <w:p>
            <w:r>
              <w:t>Well/site storage capacity (used): 0</w:t>
            </w:r>
          </w:p>
          <w:p>
            <w:r>
              <w:t>Well/site storage capacity (available): estimated range, 465,000 to 840,000 MT</w:t>
            </w:r>
          </w:p>
        </w:tc>
      </w:tr>
    </w:tbl>
    <w:p/>
    <w:p>
      <w:pPr>
        <w:pStyle w:val="Heading2"/>
      </w:pPr>
      <w:r>
        <w:t xml:space="preserve">6. Project Closure</w:t>
      </w:r>
    </w:p>
    <w:p>
      <w:pPr/>
      <w:r>
        <w:t>Once Charm determines  that reservoir is at capacity, or Charm decides to cease injection at Basco 6, whichever comes first.</w:t>
      </w:r>
    </w:p>
    <w:p>
      <w:pPr/>
      <w:r>
        <w:t xml:space="preserve">Please see section 11, Well Closure and Remediation Plan, for details regarding Charm’s well closure plan.</w:t>
      </w:r>
    </w:p>
    <w:p>
      <w:pPr>
        <w:pStyle w:val="Heading2"/>
      </w:pPr>
      <w:r>
        <w:t xml:space="preserve">7. Environmental and Social Impacts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Resource efficiency and pollution prevention — Louisiana Bio-Oil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All pre-injection studies and analyses have been conducted as required to secure Class V well permitting from LDENR, ensuring that risks to the local environment and natural resources have been assessed and controlled to the satisfaction of local regulatory authorities. This includes mechanical integrity pressure testing and isolation from USDWs. In addition, the site layout has been designed to ensure that any spilled material drains away from nearby water features. As well as avoiding adverse environmental effects, Charm has a thorough risk management program in place to avoid or mitigate possible future environmental effects that may be encountered during construction and operation.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Assessments required by LDENR permitting did not yield any known or published geological issues such as subsurface seismic activity or faulting in the area which could pose a risk of migration of injectate beyond the approved injection interval.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located off Louisiana State Highway 115, with an existing access road running from the highway to the well location. This means that equipment needed to convert the Basco 6 Well can travel over existing surface roads, without the need for additional road improvements or construction. Likewise, the existence of a facility road means that Charm will not need to construct additional site access. Bio-oil will be transported via truck accessing the well location via Highway 115 with truck shipments of no greater load weight than permitted by DOT law.</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site includes a large, improved rock area and well pad. This pad and site boundaries are of sufficient size to allow much of the new construction (including the aforementioned bio-oil receiving, circulation, and pump systems) to be performed within the existing footprint. The land immediately around the well will be used as part of Charm’s operating pad, as is expected with any operation that needs access to a well.</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small portion of the land adjacent to the well (less than .25 acres) was converted back to cropland when the well became inactive, however injection and maintenance operations will require Charm to extend the pad to its original footprint. The existing site pad does reduce the amount of work needed to bring the site back to operating condition.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planned operations require minimal energy and water resources, creating a small footprint to sustain and scale operations.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A significant advantage of Charm’s project design and methodology is it not only minimizes environmental impacts by repurposing existing orphaned oil and gas wells, but ultimately has a positive impact by committing to properly decommissioning and remediating the site upon the project’s completion.</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Biodiversity conservation — Bio-Oil Injection – LA</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Only minimal costs and no environmental consequences are anticipated to bring the Basco 6 well online for active injection. Charm’s planned operations require minimal energy and water resources, creating a small footprint to sustain and scale operations. Additionally, the well site will not impact any wetland areas. Furthermore, the well facility is located at least 0.5 miles from any apparent occupied residential structures. There are no apparent or documented historically or culturally significant areas found within at least 0.5 miles of the well location. The well location is not subject to frequent flooding and is surrounded to the north, west and south by agricultural land.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Bayou Cocodrie is located to the north at a distance of approximately 0.5 miles away at its nearest proximity to the injection well. The portion of Bayou Cocodrie at this approximate distance from the injection well is listed with the Louisiana Department of Wildlife and Fisheries as a Designated Scenic Waterway. As evidenced by site reconnaissance and available online imagery, there is no apparent location at water or ground level on Bayou Cocodrie where the injection well and well pad location is visible to the naked eye, thus no visual aesthetic impact from the location of the injection well is expected. There are no expected impacts from any potential bio-oil or other surface spillage from operations at the Charm injection well facility on Bayou Cocodrie. Any spilled material will be captured by above ground containment systems and removed from the surface in a timely fashion. Any ambient surface or stormwater generally drains to the south southeast from the Basco 6 Well, away from Bayou Cocodrie. Highway 115 is located between Bayou Cocodrie and the site, providing a further barrier to any potential runoff.</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Finally, the Basco 6 Well is not in the vicinity (1 mile) of known critical habitat, as confirmed from the US Fish and Wildlife Service IPaC Information for Planning and Consultation search tool.</w:t>
            </w:r>
          </w:p>
        </w:tc>
      </w:tr>
    </w:tbl>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 xml:space="preserve">Land acquisition and involuntary resettlement</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 xml:space="preserve">Charm leases and operates the Miniforge pyrolysis facility and nearby biomass storage site in Fort Lupton, Co and the Basco 6 site in Evangeline Parish, LA where bio oil is pre-processed to ensure suitability for injection. The footprints and usage profiles of these sites are not materially changed due to hosting Charm operations.  No known involuntary resettlement has occurred due to the development of these sites.</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The Basco 6 Well is leased through a private landowner whose family has owned the property for at least three generations.</w:t>
            </w:r>
          </w:p>
        </w:tc>
      </w:tr>
    </w:tbl>
    <w:p/>
    <w:p>
      <w:pPr>
        <w:pStyle w:val="Heading2"/>
      </w:pPr>
      <w:r>
        <w:t xml:space="preserve">8. Stakeholder Input Process</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Stakeholder Input Process Summary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In early 2024 Charm started stakeholder engagement in Central Louisiana by arranging meetings with local representatives and Policy Jury members in Evangeline and Rapides Parish, in addition to hosting a presentation for the Evangeline Parish Chamber of Commerce. In summer 2024 Charm officially joined the Evangeline Parish Chamber of Commerce and has become a regular attendee for local meetings and workshops. Charm’s first public outreach meeting is planned for spring 2025, however over the past year Charm has engaged with conservation and forestry institutions such as the Louisiana Fish &amp; Wildlife Foundation, academic institutions such as South Louisiana Community College (SOLACC), LSU’s Department of Petroleum Engineering, regional economic development groups such as Louisiana Central and GNO, Inc, as well as workforce development and transition groups such as Acadiana Workforce Solutions and True Transitions. Many of the learnings collected from these conversations include:</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Broad concern about high numbers of young people leaving home and not returning because there are few local opportunities for gainful employment</w:t>
            </w:r>
          </w:p>
          <w:p>
            <w:r>
              <w:t>Citizens want safety regulations in place, especially around injection (ex. Ensure protection of aquifers and soil)</w:t>
            </w:r>
          </w:p>
          <w:p>
            <w:r>
              <w:t>Transportation is often a challenge when maintaining a consistent workforce in rural areas (workers sometimes don’t have a car or a license)</w:t>
            </w:r>
          </w:p>
          <w:p>
            <w:r>
              <w:t>The co-benefits of Charm’s operations are very appealing to a broad variety of stakeholders who are otherwise neutral about climate initiatives (farmers, landowners, workforce development institutions, economic development groups, and beyond)</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Charm’s injection permitting process includes a public comment period, during which any local citizen can submit questions or concerns which must be addressed by LDENR. Charm has requested a public outreach meeting as part of this process in order to address any public concerns in a timely manner. In preparation for this and other public outreach events, common questions and concerns are collected in Charm’s Louisiana Stakeholder Mapping document. This document captures questions and readily shareable responses, especially those around health and safety. Charm continues to present to local municipal and community entities in Evangeline Parish and beyond.</w:t>
            </w:r>
          </w:p>
        </w:tc>
      </w:tr>
    </w:tbl>
    <w:p/>
    <w:p>
      <w:pPr>
        <w:pStyle w:val="Heading2"/>
      </w:pPr>
      <w:r>
        <w:t xml:space="preserve">9. Grievance Mechanism</w:t>
      </w:r>
    </w:p>
    <w:tbl>
      <w:tblPr>
        <w:tblW w:type="auto" w:w="0"/>
        <w:tblLook w:firstColumn="1" w:firstRow="1" w:lastColumn="0" w:lastRow="0" w:noHBand="0" w:noVBand="1" w:val="04A0"/>
      </w:tblPr>
      <w:tblGrid>
        <w:gridCol w:w="8640"/>
      </w:tblGrid>
      <w:tr>
        <w:tc>
          <w:tcPr>
            <w:tcW w:type="dxa" w:w="8640"/>
            <w:tcBorders>
              <w:top w:val="single" w:sz="6" w:space="0" w:color="b7b7b7"/>
              <w:left w:val="single" w:sz="6" w:space="0" w:color="b7b7b7"/>
              <w:bottom w:val="nil" w:sz="0" w:space="0" w:color="000000"/>
              <w:right w:val="single" w:sz="6" w:space="0" w:color="b7b7b7"/>
            </w:tcBorders>
            <w:tcMar>
              <w:top w:w="100.0" w:type="dxa"/>
              <w:left w:w="100.0" w:type="dxa"/>
              <w:bottom w:w="100.0" w:type="dxa"/>
              <w:right w:w="100.0" w:type="dxa"/>
            </w:tcMar>
          </w:tcPr>
          <w:p>
            <w:r>
              <w:rPr>
                <w:b/>
              </w:rPr>
              <w:t>Grievance Mechanism — Louisiana Injection</w:t>
            </w:r>
          </w:p>
        </w:tc>
      </w:tr>
      <w:tr>
        <w:tc>
          <w:tcPr>
            <w:tcW w:type="dxa" w:w="8640"/>
            <w:tcBorders>
              <w:top w:val="nil" w:sz="0" w:space="0" w:color="000000"/>
              <w:left w:val="single" w:sz="6" w:space="0" w:color="b7b7b7"/>
              <w:bottom w:val="single" w:sz="6" w:space="0" w:color="b7b7b7"/>
              <w:right w:val="single" w:sz="6" w:space="0" w:color="b7b7b7"/>
            </w:tcBorders>
            <w:tcMar>
              <w:top w:w="100.0" w:type="dxa"/>
              <w:left w:w="100.0" w:type="dxa"/>
              <w:bottom w:w="100.0" w:type="dxa"/>
              <w:right w:w="100.0" w:type="dxa"/>
            </w:tcMar>
          </w:tcPr>
          <w:p>
            <w:r>
              <w:t>Charm Industrial has publicly available phone numbers on our Google listing. Both of these phone lines connect directly to Charm’s Community Engagement Manager who can either address concerns directly or connect the caller with the appropriate Charm staff members. Charm’s contact information is also available on the Evangeline Chamber of Commerce Member Portal (public website) as well as the Fort Lupton Chamber of Commerce website.</w:t>
            </w:r>
          </w:p>
        </w:tc>
      </w:tr>
    </w:tbl>
    <w:p/>
    <w:p>
      <w:pPr>
        <w:pStyle w:val="Heading2"/>
      </w:pPr>
      <w:r>
        <w:t xml:space="preserve">10. Permanence Monitoring and Permit Compliance Plan</w:t>
      </w:r>
    </w:p>
    <w:p>
      <w:pPr>
        <w:pStyle w:val="Heading3"/>
      </w:pPr>
      <w:r>
        <w:t>Monitoring Plan</w:t>
      </w:r>
    </w:p>
    <w:p>
      <w:pPr/>
      <w:r>
        <w:t xml:space="preserve">Injection (Charm) For details regarding emissions monitoring at Charm’s Basco 6 well site, please see Tier 2: Combined Monitoring and Emissions Accounting Plan, tab '6. Bio-Oil Pre-Processing &amp; Inj' For well integrity and permanence monitoring details  please see the sub-sections below</w:t>
      </w:r>
    </w:p>
    <w:p>
      <w:pPr/>
      <w:r>
        <w:t xml:space="preserve">Uncertainty for Basco 6 Louisiana Injection Operations Sensitivity analysis and uncertainty modifications for Basco 6 Louisiana injection operations are included in Tier 2: Combined Monitoring and Emissions Accounting Plan, tabs '6. Bio-Oil Pre-Processing &amp; Inj' and '11. Sensitivity Analysis'</w:t>
      </w:r>
    </w:p>
    <w:p>
      <w:r>
        <w:t>The Basco 6 EW is a former saltwater disposal well located in Evangeline Parish, Louisiana. It was drilled in 2011, and while active, injected nearly 20,000 bbls of produced water before transitioning to orphan well status in 2016. Charm gained permission to test the well’s integrity in February 2024, and finding the well in suitable condition, requested liability from the State of Louisiana to repurpose the well for permanent sequestration of bio-oil.</w:t>
      </w:r>
    </w:p>
    <w:p>
      <w:r>
        <w:t>The data acquisition and monitoring plan framed below highlights how Charm will fulfill Isometric’s Bio-oil Storage in Permeable Reservoirs (“Protocol”) module with a single injection asset (“Well”) in addition to those anticipated from a Class V UIC permit issued by the Louisiana Department of Energy and Natural Resources (“LDENR”).</w:t>
      </w:r>
    </w:p>
    <w:p>
      <w:r>
        <w:t>The following deviations from the Protocol are required on account of the project design; see discussion below for alternative methods, where applicable:</w:t>
      </w:r>
    </w:p>
    <w:p>
      <w:r>
        <w:t>While the Protocol accommodates the presence of a monitoring well, the Basco 6 EW project consists only of a single Well for injection. As a result, formation fluid analytes (i.e., pH, density, anions/cations, etc.) will not be available after bio-oil injection operations commence, as doing so would jeopardize previously sequestered bio-oil. Bio-oil density will be referenced relative to that of the in-situ formation fluid at baseline conditions. In addition, formation fluid will not be available for corrosion monitoring purposes. See Section 3.1.1 and Section 3.2.</w:t>
      </w:r>
    </w:p>
    <w:p>
      <w:r>
        <w:t>Bio-oil analytes at each injection batch will not include isotopes or geochemical characterization (“fingerprint”) of bio-oil compounds unless mandated by LDENR, as referenced in Section 3.1.1. This data is both time and cost prohibitive to conduct routinely, and does not inform project permanence.</w:t>
      </w:r>
    </w:p>
    <w:p>
      <w:r>
        <w:t>Corrosion monitoring as described in Section 3.1.2 will be continuously monitored by tubing and annulus pressure, with visual inspection performed on tubing and/or packer only if and when the tubing and/or packer is run out of the hole for maintenance. Pulling the equipment from the well for the purpose of visually monitoring this equipment every 6 months unnecessarily jeopardizes the well’s completion and the equipment’s condition. It is also time and cost prohibitive, requiring LDENR approval before the work is scheduled with an on site MIPT to be witnessed by LDENR staff upon completion of the work.</w:t>
      </w:r>
    </w:p>
    <w:p>
      <w:r>
        <w:t>Charm continues to explore and mature material compatibility testing with a wide range of steel alloys and bio-oils to inform longevity of J-55 and other well-specific materials.</w:t>
      </w:r>
    </w:p>
    <w:p>
      <w:r>
        <w:t>Direct measurement of bio-oil migration as described in Section 3.1.3 is not possible without use of a monitoring well(s). Plume development will be inferred from the Warner-Lehr model, but is not expected to be required by LDENR. Vertical migration will be monitored annually via radioactive tracer survey.</w:t>
      </w:r>
    </w:p>
    <w:p>
      <w:r>
        <w:t>Groundwater monitoring as described in Section 3.1.3 is not anticipated to be required by LDENR.</w:t>
      </w:r>
    </w:p>
    <w:p>
      <w:r>
        <w:t>Continuous inline gas detectors equipped with sensors for GHG and VOCs specified in the Protocol (Section 3.1.3) are prohibitively expensive for incorporating into Charm’s project. The unlikely occurrence of gas to surface will be monitored as described below:</w:t>
      </w:r>
    </w:p>
    <w:p>
      <w:r>
        <w:t>Continuous annulus pressure monitoring will detect any subsurface tubing or casing leakage. In the event of an unexplained annulus pressure reading, gas detection sensors and/or cameras will be used to determine the presence of any gas leakage and corrective action applied where root cause analysis justifies.</w:t>
      </w:r>
    </w:p>
    <w:p>
      <w:r>
        <w:t>Every six months, a wellhead gas measurement will be conducted and compared with baseline readings as described in the Protocol.</w:t>
      </w:r>
    </w:p>
    <w:p>
      <w:r>
        <w:t>Annual mechanical integrity testing will confirm that the well construction materials are sound as described in the Protocol.</w:t>
      </w:r>
    </w:p>
    <w:p>
      <w:r>
        <w:t>A seismic monitoring program as described in Section 3.1.3 is not expected to be required by LDENR.</w:t>
      </w:r>
    </w:p>
    <w:p>
      <w:r>
        <w:t>Charm’s understanding of bio-oil compatibility has been enhanced by external research which identified calcium as a common reservoir mineral most sensitive to bio-oil; work is underway to extend this research to the Lower Miocene formation sampled from the Basco 6 EW well. In addition, we are leveraging this learning in our candidate selection process as a primary means of mitigating, if not eliminating, bio-oil reactivity. Monitoring for potential reactivity will be inferred from continuously recorded surface pressure and injectivity trends. Periodic falloff tests will also inform reservoir quality changes resulting from either aging (e.g., increased “skin effect”) or reactivity (decreasing “skin effect”). Even in the event of stimulation-scale dissolution within the wellbore, a wellbore maintained to regulatory standards will not generate leakage.</w:t>
      </w:r>
    </w:p>
    <w:p>
      <w:pPr>
        <w:pStyle w:val="Heading3"/>
      </w:pPr>
      <w:r>
        <w:t>Permitting</w:t>
      </w:r>
    </w:p>
    <w:p>
      <w:r>
        <w:t>The LDENR-issued Class V UIC permit for the Charm LA, LLC-operated asset Basco 6 EW (S/N 974025), located in Evangeline Parish, Louisiana, has been in force for over a year (Order No. IMD 2025-05 EW).</w:t>
      </w:r>
    </w:p>
    <w:p>
      <w:pPr>
        <w:pStyle w:val="Heading3"/>
      </w:pPr>
      <w:r>
        <w:t>Site Characterization and Feasibility Requirements</w:t>
      </w:r>
    </w:p>
    <w:p>
      <w:r>
        <w:t>The UIC permit application did not require demonstration of the geologic system for bio-oil sequestration, as the well was historically approved for salt water disposal operations.</w:t>
      </w:r>
    </w:p>
    <w:tbl>
      <w:tblPr>
        <w:tblStyle w:val="Table92"/>
        <w:tblW w:w="8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34"/>
        <w:gridCol w:w="4306"/>
      </w:tblGrid>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Parameter</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Result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C">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Reservoir lithology and mineralogy</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D">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Lower Miocene formation is an unconsolidated sandstone, consisting primarily of quartz as indicated by </w:t>
            </w:r>
            <w:hyperlink r:id="rId9">
              <w:r w:rsidDel="00000000" w:rsidR="00000000" w:rsidRPr="00000000">
                <w:rPr>
                  <w:rFonts w:ascii="Arial" w:cs="Arial" w:eastAsia="Arial" w:hAnsi="Arial"/>
                  <w:color w:val="1155cc"/>
                  <w:sz w:val="20"/>
                  <w:szCs w:val="20"/>
                  <w:u w:val="single"/>
                  <w:rtl w:val="0"/>
                </w:rPr>
                <w:t xml:space="preserve">XRD of fill</w:t>
              </w:r>
            </w:hyperlink>
            <w:r w:rsidDel="00000000" w:rsidR="00000000" w:rsidRPr="00000000">
              <w:rPr>
                <w:rFonts w:ascii="Arial" w:cs="Arial" w:eastAsia="Arial" w:hAnsi="Arial"/>
                <w:color w:val="221e1f"/>
                <w:sz w:val="20"/>
                <w:szCs w:val="20"/>
                <w:rtl w:val="0"/>
              </w:rPr>
              <w:t xml:space="preserve"> taken from the below the perforations.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5E">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Porosity and permeability of sequestration zone strata</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5F">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completed interval ranges from 25-27% effective porosity (as determined from cased hole logs), with an estimated permeability range from 465 mD to &gt; 2D.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0">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Confirmation of low permeability and structural integrity of confining layer/cap rock</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1">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The previous operator injected 17,700 bbls of brine in this formation, which remained geologically isolated from overlying aquifers by mechanical integrity and numerous geologic seals.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2">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Temperature, pH, conductivity and fluid saturation of storage reservoir formation fluid/brine</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3">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properties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4">
            <w:pPr>
              <w:widowControl w:val="0"/>
              <w:rPr>
                <w:rFonts w:ascii="Arial" w:cs="Arial" w:eastAsia="Arial" w:hAnsi="Arial"/>
                <w:color w:val="221e1f"/>
                <w:sz w:val="18"/>
                <w:szCs w:val="18"/>
              </w:rPr>
            </w:pPr>
            <w:r w:rsidDel="00000000" w:rsidR="00000000" w:rsidRPr="00000000">
              <w:rPr>
                <w:rFonts w:ascii="Arial" w:cs="Arial" w:eastAsia="Arial" w:hAnsi="Arial"/>
                <w:color w:val="221e1f"/>
                <w:sz w:val="20"/>
                <w:szCs w:val="20"/>
                <w:rtl w:val="0"/>
              </w:rPr>
              <w:t xml:space="preserve">Dissolved gas, including dissolved inorganic carbon (DIC), composition in formation fluids and composition of any tracers being used</w:t>
            </w:r>
            <w:r w:rsidDel="00000000" w:rsidR="00000000" w:rsidRPr="00000000">
              <w:rPr>
                <w:rFonts w:ascii="Arial" w:cs="Arial" w:eastAsia="Arial" w:hAnsi="Arial"/>
                <w:sz w:val="20"/>
                <w:szCs w:val="20"/>
                <w:rtl w:val="0"/>
              </w:rPr>
              <w:t xml:space="preserve"> (e.g., δ </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signature and/or major and minor 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5">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composition </w:t>
            </w:r>
            <w:hyperlink r:id="rId10">
              <w:r w:rsidDel="00000000" w:rsidR="00000000" w:rsidRPr="00000000">
                <w:rPr>
                  <w:rFonts w:ascii="Arial" w:cs="Arial" w:eastAsia="Arial" w:hAnsi="Arial"/>
                  <w:color w:val="1155cc"/>
                  <w:sz w:val="20"/>
                  <w:szCs w:val="20"/>
                  <w:u w:val="single"/>
                  <w:rtl w:val="0"/>
                </w:rPr>
                <w:t xml:space="preserve">here</w:t>
              </w:r>
            </w:hyperlink>
            <w:r w:rsidDel="00000000" w:rsidR="00000000" w:rsidRPr="00000000">
              <w:rPr>
                <w:rFonts w:ascii="Arial" w:cs="Arial" w:eastAsia="Arial" w:hAnsi="Arial"/>
                <w:color w:val="221e1f"/>
                <w:sz w:val="20"/>
                <w:szCs w:val="20"/>
                <w:rtl w:val="0"/>
              </w:rPr>
              <w:t xml:space="preserve">. No tracers being used.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6">
            <w:pPr>
              <w:widowControl w:val="0"/>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Formation fluid stable oxygen δ</w:t>
            </w:r>
            <w:r w:rsidDel="00000000" w:rsidR="00000000" w:rsidRPr="00000000">
              <w:rPr>
                <w:rFonts w:ascii="Arial" w:cs="Arial" w:eastAsia="Arial" w:hAnsi="Arial"/>
                <w:color w:val="221e1f"/>
                <w:sz w:val="20"/>
                <w:szCs w:val="20"/>
                <w:vertAlign w:val="superscript"/>
                <w:rtl w:val="0"/>
              </w:rPr>
              <w:t xml:space="preserve">18</w:t>
            </w:r>
            <w:r w:rsidDel="00000000" w:rsidR="00000000" w:rsidRPr="00000000">
              <w:rPr>
                <w:rFonts w:ascii="Arial" w:cs="Arial" w:eastAsia="Arial" w:hAnsi="Arial"/>
                <w:color w:val="221e1f"/>
                <w:sz w:val="20"/>
                <w:szCs w:val="20"/>
                <w:rtl w:val="0"/>
              </w:rPr>
              <w:t xml:space="preserve">O and hydrogen δD isotope signature, where required in the permit</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7">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required by the permit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8">
            <w:pPr>
              <w:rPr>
                <w:rFonts w:ascii="Arial" w:cs="Arial" w:eastAsia="Arial" w:hAnsi="Arial"/>
                <w:color w:val="221e1f"/>
                <w:sz w:val="18"/>
                <w:szCs w:val="18"/>
              </w:rPr>
            </w:pPr>
            <w:r w:rsidDel="00000000" w:rsidR="00000000" w:rsidRPr="00000000">
              <w:rPr>
                <w:rFonts w:ascii="Arial" w:cs="Arial" w:eastAsia="Arial" w:hAnsi="Arial"/>
                <w:sz w:val="20"/>
                <w:szCs w:val="20"/>
                <w:rtl w:val="0"/>
              </w:rPr>
              <w:t xml:space="preserve">δ</w:t>
            </w:r>
            <w:r w:rsidDel="00000000" w:rsidR="00000000" w:rsidRPr="00000000">
              <w:rPr>
                <w:rFonts w:ascii="Arial" w:cs="Arial" w:eastAsia="Arial" w:hAnsi="Arial"/>
                <w:sz w:val="20"/>
                <w:szCs w:val="20"/>
                <w:vertAlign w:val="superscript"/>
                <w:rtl w:val="0"/>
              </w:rPr>
              <w:t xml:space="preserve">13</w:t>
            </w:r>
            <w:r w:rsidDel="00000000" w:rsidR="00000000" w:rsidRPr="00000000">
              <w:rPr>
                <w:rFonts w:ascii="Arial" w:cs="Arial" w:eastAsia="Arial" w:hAnsi="Arial"/>
                <w:sz w:val="20"/>
                <w:szCs w:val="20"/>
                <w:rtl w:val="0"/>
              </w:rPr>
              <w:t xml:space="preserve">C of the compounds of the bio-oil, where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9">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3f3" w:val="clear"/>
            <w:tcMar>
              <w:top w:w="72.0" w:type="dxa"/>
              <w:left w:w="72.0" w:type="dxa"/>
              <w:bottom w:w="72.0" w:type="dxa"/>
              <w:right w:w="72.0" w:type="dxa"/>
            </w:tcMar>
            <w:vAlign w:val="center"/>
          </w:tcPr>
          <w:p w:rsidR="00000000" w:rsidDel="00000000" w:rsidP="00000000" w:rsidRDefault="00000000" w:rsidRPr="00000000" w14:paraId="00000C6A">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Quantity of hydrocarbons present in the reservoir prior to bio-oil injection</w:t>
            </w:r>
          </w:p>
        </w:tc>
        <w:tc>
          <w:tcPr>
            <w:tcBorders>
              <w:top w:color="000000" w:space="0" w:sz="4" w:val="single"/>
              <w:left w:color="000000" w:space="0" w:sz="4" w:val="single"/>
              <w:bottom w:color="000000" w:space="0" w:sz="4" w:val="single"/>
              <w:right w:color="000000" w:space="0" w:sz="4" w:val="single"/>
            </w:tcBorders>
            <w:tcMar>
              <w:top w:w="72.0" w:type="dxa"/>
              <w:left w:w="72.0" w:type="dxa"/>
              <w:bottom w:w="72.0" w:type="dxa"/>
              <w:right w:w="72.0" w:type="dxa"/>
            </w:tcMar>
            <w:vAlign w:val="center"/>
          </w:tcPr>
          <w:p w:rsidR="00000000" w:rsidDel="00000000" w:rsidP="00000000" w:rsidRDefault="00000000" w:rsidRPr="00000000" w14:paraId="00000C6B">
            <w:pPr>
              <w:widowControl w:val="0"/>
              <w:pBdr>
                <w:top w:color="221e1f" w:space="0" w:sz="0" w:val="none"/>
                <w:left w:color="221e1f" w:space="0" w:sz="0" w:val="none"/>
                <w:bottom w:color="221e1f" w:space="0" w:sz="0" w:val="none"/>
                <w:right w:color="221e1f" w:space="0" w:sz="0" w:val="none"/>
                <w:between w:color="221e1f" w:space="0" w:sz="0" w:val="none"/>
              </w:pBdr>
              <w:rPr>
                <w:rFonts w:ascii="Arial" w:cs="Arial" w:eastAsia="Arial" w:hAnsi="Arial"/>
                <w:color w:val="221e1f"/>
                <w:sz w:val="20"/>
                <w:szCs w:val="20"/>
              </w:rPr>
            </w:pPr>
            <w:r w:rsidDel="00000000" w:rsidR="00000000" w:rsidRPr="00000000">
              <w:rPr>
                <w:rFonts w:ascii="Arial" w:cs="Arial" w:eastAsia="Arial" w:hAnsi="Arial"/>
                <w:color w:val="221e1f"/>
                <w:sz w:val="20"/>
                <w:szCs w:val="20"/>
                <w:rtl w:val="0"/>
              </w:rPr>
              <w:t xml:space="preserve">Trace (residual) hydrocarbons, likely entrained from produced water injection, are present but not recoverable</w:t>
            </w:r>
          </w:p>
        </w:tc>
      </w:tr>
    </w:tbl>
    <w:p/>
    <w:p>
      <w:pPr>
        <w:pStyle w:val="Heading3"/>
      </w:pPr>
      <w:r>
        <w:t>Well construction requirements</w:t>
      </w:r>
    </w:p>
    <w:p>
      <w:r>
        <w:t>All records confirming well integrity have been reviewed and approved by LDENR. Charm will maintain all well records documenting relevant activity on the location.</w:t>
      </w:r>
    </w:p>
    <w:p>
      <w:pPr>
        <w:pStyle w:val="Heading3"/>
      </w:pPr>
      <w:r>
        <w:t>Injection and injectant operation &amp; monitoring</w:t>
      </w:r>
    </w:p>
    <w:p>
      <w:r>
        <w:t>LDENR issued the MASIP at 455 psi. Continuous recording devices will capture flowrate, injection volume, tubing, annulus and bottomhole pressures, and bottomhole temperature for regulatory reporting. Equipment list found in the site Embodied Emissions Inventory submitted with this document.</w:t>
      </w:r>
    </w:p>
    <w:p>
      <w:r>
        <w:t>Operations will be conducted according to any other operational conditions (e.g., flow rate, injectant composition or properties) cited on the approved UIC permit.</w:t>
      </w:r>
    </w:p>
    <w:p>
      <w:r>
        <w:t>Injectant samples will be taken at a frequency mandated by LDENR to confirm pH, density, viscosity, TAN and carbon content and/or as required by the approved UIC permit.</w:t>
      </w:r>
    </w:p>
    <w:p>
      <w:r>
        <w:t>Production batches, representing a change in biomass feedstock or pyrolysis process, will extend the above analysis to include major anions and cations.</w:t>
      </w:r>
    </w:p>
    <w:p>
      <w:r>
        <w:t>Wellhead gas detection will be performed every 6 mos to confirm no gas leakage at surface. Setpoints on the injection pump and flowmeter will trigger equipment alarm and automatic shutoff.</w:t>
      </w:r>
    </w:p>
    <w:p>
      <w:pPr>
        <w:pStyle w:val="Heading3"/>
      </w:pPr>
      <w:r>
        <w:t>System Integrity Monitoring</w:t>
      </w:r>
    </w:p>
    <w:p>
      <w:r>
        <w:t>Corrosion monitoring will be performed at a 6 month frequency. Witnessed mechanical integrity tests will be conducted annually per LDENR. A pressure falloff test will be performed annually.</w:t>
      </w:r>
    </w:p>
    <w:p>
      <w:pPr>
        <w:pStyle w:val="Heading3"/>
      </w:pPr>
      <w:r>
        <w:t>Migration and Storage Reversal Monitoring</w:t>
      </w:r>
    </w:p>
    <w:p>
      <w:r>
        <w:t>Charm does not operate an offset well in the immediate vicinity of the Basco 6 EW. As a result, Charm will estimate the radius of the pressure front throughout operations.</w:t>
      </w:r>
    </w:p>
    <w:p>
      <w:r>
        <w:t>Charm will conduct grab samples of injectant as required by the approved UIC permit.</w:t>
      </w:r>
    </w:p>
    <w:p>
      <w:r>
        <w:t>Gas detection at surface will be conducted at a 6 month frequency. Any deviations from baseline measurements attributed to Charm’s operations will be reported to LDENR with plans for corrective action, with operations resuming with LDENR approval.</w:t>
      </w:r>
    </w:p>
    <w:p>
      <w:r>
        <w:t>Charm’s Class V UIC permit is not expected to require groundwater or seismic monitoring.</w:t>
      </w:r>
    </w:p>
    <w:p>
      <w:pPr>
        <w:pStyle w:val="Heading3"/>
      </w:pPr>
      <w:r>
        <w:t>Post-injection Monitoring Plan</w:t>
      </w:r>
    </w:p>
    <w:p>
      <w:pPr>
        <w:pStyle w:val="Heading4"/>
      </w:pPr>
      <w:r>
        <w:t>During operations phase</w:t>
      </w:r>
    </w:p>
    <w:p>
      <w:pPr>
        <w:pStyle w:val="Heading5"/>
      </w:pPr>
      <w:r>
        <w:t>Density contrast</w:t>
      </w:r>
    </w:p>
    <w:p>
      <w:r>
        <w:t>In the absence of a monitoring well, formation fluid samples cannot be collected from the Basco 6 EW without jeopardizing previously sequestered volumes. All density values will be referenced to baseline formation fluid analysis results.</w:t>
      </w:r>
    </w:p>
    <w:p>
      <w:pPr>
        <w:pStyle w:val="Heading5"/>
      </w:pPr>
      <w:r>
        <w:t>Biogas monitoring</w:t>
      </w:r>
    </w:p>
    <w:p>
      <w:r>
        <w:t>Intermittent gas sampling will be performed if detected at surface.</w:t>
      </w:r>
    </w:p>
    <w:p>
      <w:pPr>
        <w:pStyle w:val="Heading5"/>
      </w:pPr>
      <w:r>
        <w:t>Monitoring for interaction with reservoir rocks</w:t>
      </w:r>
    </w:p>
    <w:p>
      <w:r>
        <w:t>Pressure falloff tests conducted throughout the operations phase that signal increase in pore space will be investigated with wellhead samples to corroborate the source.</w:t>
      </w:r>
    </w:p>
    <w:p>
      <w:pPr>
        <w:pStyle w:val="Heading5"/>
      </w:pPr>
      <w:r>
        <w:t>System integrity monitoring</w:t>
      </w:r>
    </w:p>
    <w:p>
      <w:r>
        <w:t>System integrity monitoring throughout the operations phase will continue as per UIC requirements.</w:t>
      </w:r>
    </w:p>
    <w:p>
      <w:pPr>
        <w:pStyle w:val="Heading4"/>
      </w:pPr>
      <w:r>
        <w:t>Post-injection monitoring plan</w:t>
      </w:r>
    </w:p>
    <w:p>
      <w:r>
        <w:t xml:space="preserve">Upon ceasing injection, Charm will issue a post-injection monitoring plan leveraging appropriate technologies for confirming permanence. A summary of closing activities is included in section 11, Well Closure and Remediation Plan</w:t>
      </w:r>
    </w:p>
    <w:p>
      <w:pPr>
        <w:pStyle w:val="Heading3"/>
      </w:pPr>
      <w:r>
        <w:t>Site Emissions and Lot Emissions</w:t>
      </w:r>
    </w:p>
    <w:p w:rsidR="00000000" w:rsidDel="00000000" w:rsidP="00000000" w:rsidRDefault="00000000" w:rsidRPr="00000000" w14:paraId="00000BC9">
      <w:pPr>
        <w:widowControl w:val="0"/>
        <w:rPr/>
      </w:pPr>
      <w:r w:rsidDel="00000000" w:rsidR="00000000" w:rsidRPr="00000000">
        <w:rPr>
          <w:rtl w:val="0"/>
        </w:rPr>
        <w:t xml:space="preserve">Overview: Emissions associated with bio-oil sequestration are calculated one of two ways.</w:t>
      </w:r>
    </w:p>
    <w:p w:rsidR="00000000" w:rsidDel="00000000" w:rsidP="00000000" w:rsidRDefault="00000000" w:rsidRPr="00000000" w14:paraId="00000BCA">
      <w:pPr>
        <w:widowControl w:val="0"/>
        <w:numPr>
          <w:ilvl w:val="0"/>
          <w:numId w:val="11"/>
        </w:numPr>
        <w:ind w:left="720" w:hanging="360"/>
        <w:rPr>
          <w:i w:val="1"/>
          <w:iCs w:val="1"/>
        </w:rPr>
      </w:pPr>
      <w:r w:rsidDel="00000000" w:rsidR="00000000" w:rsidRPr="00000000">
        <w:rPr>
          <w:i w:val="1"/>
          <w:iCs w:val="1"/>
          <w:rtl w:val="0"/>
        </w:rPr>
        <w:t xml:space="preserve">Lot Emissions</w:t>
      </w:r>
      <w:r w:rsidDel="00000000" w:rsidR="00000000" w:rsidRPr="00000000">
        <w:rPr>
          <w:rtl w:val="0"/>
        </w:rPr>
        <w:t xml:space="preserve"> are emissions that can be clearly associated with a particular lot of bio oil. These emissions are associated with a specific lot of oil in the ledger and deducted from the net CDR associated with that specific lot or injection batch of bio-oil.</w:t>
      </w:r>
      <w:r w:rsidDel="00000000" w:rsidR="00000000" w:rsidRPr="00000000">
        <w:rPr>
          <w:rtl w:val="0"/>
        </w:rPr>
      </w:r>
    </w:p>
    <w:p w:rsidR="00000000" w:rsidDel="00000000" w:rsidP="00000000" w:rsidRDefault="00000000" w:rsidRPr="00000000" w14:paraId="00000BCB">
      <w:pPr>
        <w:widowControl w:val="0"/>
        <w:numPr>
          <w:ilvl w:val="0"/>
          <w:numId w:val="11"/>
        </w:numPr>
        <w:ind w:left="720" w:hanging="360"/>
        <w:rPr>
          <w:i w:val="1"/>
          <w:iCs w:val="1"/>
        </w:rPr>
      </w:pPr>
      <w:r w:rsidDel="00000000" w:rsidR="00000000" w:rsidRPr="00000000">
        <w:rPr>
          <w:i w:val="1"/>
          <w:iCs w:val="1"/>
          <w:rtl w:val="0"/>
        </w:rPr>
        <w:t xml:space="preserve">Site Emissions</w:t>
      </w:r>
      <w:r w:rsidDel="00000000" w:rsidR="00000000" w:rsidRPr="00000000">
        <w:rPr>
          <w:rtl w:val="0"/>
        </w:rPr>
        <w:t xml:space="preserve"> are emissions that cannot be associated with a specific lot of oil, but are associated with a particular processing site. These emissions are accrued to the site and deducted from removals associated with the site each reporting period. Site Emissions include, but are not limited to, emissions from energy used to power the site overall as these emissions cannot be reliably mapped to a particular processed lot.</w:t>
      </w:r>
      <w:r w:rsidDel="00000000" w:rsidR="00000000" w:rsidRPr="00000000">
        <w:rPr>
          <w:rtl w:val="0"/>
        </w:rPr>
      </w:r>
    </w:p>
    <w:p w:rsidR="00000000" w:rsidDel="00000000" w:rsidP="00000000" w:rsidRDefault="00000000" w:rsidRPr="00000000" w14:paraId="00000BCD">
      <w:pPr>
        <w:widowControl w:val="0"/>
        <w:rPr/>
      </w:pPr>
      <w:r w:rsidDel="00000000" w:rsidR="00000000" w:rsidRPr="00000000">
        <w:rPr>
          <w:rtl w:val="0"/>
        </w:rPr>
        <w:t xml:space="preserve">For clarity and transparency, all emission calculations discussed in this PDD are sorted into Lot Emission and Site Emission categories below</w:t>
      </w:r>
    </w:p>
    <w:p w:rsidR="00000000" w:rsidDel="00000000" w:rsidP="00000000" w:rsidRDefault="00000000" w:rsidRPr="00000000" w14:paraId="00000BCF">
      <w:pPr>
        <w:widowControl w:val="0"/>
        <w:numPr>
          <w:ilvl w:val="0"/>
          <w:numId w:val="10"/>
        </w:numPr>
        <w:ind w:left="720" w:hanging="360"/>
        <w:rPr>
          <w:u w:val="none"/>
        </w:rPr>
      </w:pPr>
      <w:r w:rsidDel="00000000" w:rsidR="00000000" w:rsidRPr="00000000">
        <w:rPr>
          <w:rtl w:val="0"/>
        </w:rPr>
        <w:t xml:space="preserve">Lot Emissions</w:t>
      </w:r>
      <w:r w:rsidDel="00000000" w:rsidR="00000000" w:rsidRPr="00000000">
        <w:rPr>
          <w:rtl w:val="0"/>
        </w:rPr>
      </w:r>
    </w:p>
    <w:p w:rsidR="00000000" w:rsidDel="00000000" w:rsidP="00000000" w:rsidRDefault="00000000" w:rsidRPr="00000000" w14:paraId="00000BD0">
      <w:pPr>
        <w:widowControl w:val="0"/>
        <w:numPr>
          <w:ilvl w:val="1"/>
          <w:numId w:val="10"/>
        </w:numPr>
        <w:ind w:left="1440" w:hanging="360"/>
        <w:rPr>
          <w:u w:val="none"/>
        </w:rPr>
      </w:pPr>
      <w:r w:rsidDel="00000000" w:rsidR="00000000" w:rsidRPr="00000000">
        <w:rPr>
          <w:rtl w:val="0"/>
        </w:rPr>
        <w:t xml:space="preserve">Pyrolysis Process Emissions</w:t>
      </w:r>
      <w:r w:rsidDel="00000000" w:rsidR="00000000" w:rsidRPr="00000000">
        <w:rPr>
          <w:rtl w:val="0"/>
        </w:rPr>
      </w:r>
    </w:p>
    <w:p w:rsidR="00000000" w:rsidDel="00000000" w:rsidP="00000000" w:rsidRDefault="00000000" w:rsidRPr="00000000" w14:paraId="00000BD1">
      <w:pPr>
        <w:widowControl w:val="0"/>
        <w:numPr>
          <w:ilvl w:val="2"/>
          <w:numId w:val="10"/>
        </w:numPr>
        <w:ind w:left="2160" w:hanging="360"/>
        <w:rPr>
          <w:u w:val="none"/>
        </w:rPr>
      </w:pPr>
      <w:r w:rsidDel="00000000" w:rsidR="00000000" w:rsidRPr="00000000">
        <w:rPr>
          <w:rtl w:val="0"/>
        </w:rPr>
        <w:t xml:space="preserve">Fuel Use from Feedstock Transport</w:t>
      </w:r>
      <w:r w:rsidDel="00000000" w:rsidR="00000000" w:rsidRPr="00000000">
        <w:rPr>
          <w:rtl w:val="0"/>
        </w:rPr>
      </w:r>
    </w:p>
    <w:p w:rsidR="00000000" w:rsidDel="00000000" w:rsidP="00000000" w:rsidRDefault="00000000" w:rsidRPr="00000000" w14:paraId="00000BD2">
      <w:pPr>
        <w:widowControl w:val="0"/>
        <w:numPr>
          <w:ilvl w:val="2"/>
          <w:numId w:val="10"/>
        </w:numPr>
        <w:ind w:left="2160" w:hanging="360"/>
        <w:rPr>
          <w:u w:val="none"/>
        </w:rPr>
      </w:pPr>
      <w:r w:rsidDel="00000000" w:rsidR="00000000" w:rsidRPr="00000000">
        <w:rPr>
          <w:rtl w:val="0"/>
        </w:rPr>
        <w:t xml:space="preserve">Fuel Use from Biomass Pyrolysis</w:t>
      </w:r>
      <w:r w:rsidDel="00000000" w:rsidR="00000000" w:rsidRPr="00000000">
        <w:rPr>
          <w:rtl w:val="0"/>
        </w:rPr>
      </w:r>
    </w:p>
    <w:p w:rsidR="00000000" w:rsidDel="00000000" w:rsidP="00000000" w:rsidRDefault="00000000" w:rsidRPr="00000000" w14:paraId="00000BD3">
      <w:pPr>
        <w:widowControl w:val="0"/>
        <w:numPr>
          <w:ilvl w:val="2"/>
          <w:numId w:val="10"/>
        </w:numPr>
        <w:ind w:left="2160" w:hanging="360"/>
        <w:rPr>
          <w:u w:val="none"/>
        </w:rPr>
      </w:pPr>
      <w:r w:rsidDel="00000000" w:rsidR="00000000" w:rsidRPr="00000000">
        <w:rPr>
          <w:rtl w:val="0"/>
        </w:rPr>
        <w:t xml:space="preserve">Electricity Use from Biomass Pyrolysis</w:t>
      </w:r>
      <w:r w:rsidDel="00000000" w:rsidR="00000000" w:rsidRPr="00000000">
        <w:rPr>
          <w:rtl w:val="0"/>
        </w:rPr>
      </w:r>
    </w:p>
    <w:p w:rsidR="00000000" w:rsidDel="00000000" w:rsidP="00000000" w:rsidRDefault="00000000" w:rsidRPr="00000000" w14:paraId="00000BD4">
      <w:pPr>
        <w:widowControl w:val="0"/>
        <w:numPr>
          <w:ilvl w:val="2"/>
          <w:numId w:val="10"/>
        </w:numPr>
        <w:ind w:left="2160" w:hanging="360"/>
        <w:rPr>
          <w:u w:val="none"/>
        </w:rPr>
      </w:pPr>
      <w:r w:rsidDel="00000000" w:rsidR="00000000" w:rsidRPr="00000000">
        <w:rPr>
          <w:rtl w:val="0"/>
        </w:rPr>
        <w:t xml:space="preserve">Pyrolysis Tailgas</w:t>
      </w:r>
      <w:r w:rsidDel="00000000" w:rsidR="00000000" w:rsidRPr="00000000">
        <w:rPr>
          <w:rtl w:val="0"/>
        </w:rPr>
      </w:r>
    </w:p>
    <w:p w:rsidR="00000000" w:rsidDel="00000000" w:rsidP="00000000" w:rsidRDefault="00000000" w:rsidRPr="00000000" w14:paraId="00000BD5">
      <w:pPr>
        <w:widowControl w:val="0"/>
        <w:numPr>
          <w:ilvl w:val="1"/>
          <w:numId w:val="10"/>
        </w:numPr>
        <w:ind w:left="1440" w:hanging="360"/>
        <w:rPr>
          <w:u w:val="none"/>
        </w:rPr>
      </w:pPr>
      <w:r w:rsidDel="00000000" w:rsidR="00000000" w:rsidRPr="00000000">
        <w:rPr>
          <w:rtl w:val="0"/>
        </w:rPr>
        <w:t xml:space="preserve">Pyrolysis Embodied Emissions</w:t>
      </w:r>
      <w:r w:rsidDel="00000000" w:rsidR="00000000" w:rsidRPr="00000000">
        <w:rPr>
          <w:rtl w:val="0"/>
        </w:rPr>
      </w:r>
    </w:p>
    <w:p w:rsidR="00000000" w:rsidDel="00000000" w:rsidP="00000000" w:rsidRDefault="00000000" w:rsidRPr="00000000" w14:paraId="00000BD6">
      <w:pPr>
        <w:widowControl w:val="0"/>
        <w:numPr>
          <w:ilvl w:val="2"/>
          <w:numId w:val="10"/>
        </w:numPr>
        <w:ind w:left="2160" w:hanging="360"/>
        <w:rPr/>
      </w:pPr>
      <w:r w:rsidDel="00000000" w:rsidR="00000000" w:rsidRPr="00000000">
        <w:rPr>
          <w:rtl w:val="0"/>
        </w:rPr>
        <w:t xml:space="preserve">Embodied Emissions from Feedstock Transport</w:t>
      </w:r>
    </w:p>
    <w:p w:rsidR="00000000" w:rsidDel="00000000" w:rsidP="00000000" w:rsidRDefault="00000000" w:rsidRPr="00000000" w14:paraId="00000BD7">
      <w:pPr>
        <w:widowControl w:val="0"/>
        <w:numPr>
          <w:ilvl w:val="2"/>
          <w:numId w:val="10"/>
        </w:numPr>
        <w:ind w:left="2160" w:hanging="360"/>
        <w:rPr/>
      </w:pPr>
      <w:r w:rsidDel="00000000" w:rsidR="00000000" w:rsidRPr="00000000">
        <w:rPr>
          <w:rtl w:val="0"/>
        </w:rPr>
        <w:t xml:space="preserve">Embodied Emissions from Equipment and Facilities for Biomass Pyrolysis</w:t>
      </w:r>
    </w:p>
    <w:p w:rsidR="00000000" w:rsidDel="00000000" w:rsidP="00000000" w:rsidRDefault="00000000" w:rsidRPr="00000000" w14:paraId="00000BD8">
      <w:pPr>
        <w:widowControl w:val="0"/>
        <w:numPr>
          <w:ilvl w:val="1"/>
          <w:numId w:val="10"/>
        </w:numPr>
        <w:ind w:left="1440" w:hanging="360"/>
        <w:rPr>
          <w:u w:val="none"/>
        </w:rPr>
      </w:pPr>
      <w:r w:rsidDel="00000000" w:rsidR="00000000" w:rsidRPr="00000000">
        <w:rPr>
          <w:rtl w:val="0"/>
        </w:rPr>
        <w:t xml:space="preserve">Fuel Use from Injectate Transport to Pre-Processing</w:t>
      </w:r>
      <w:r w:rsidDel="00000000" w:rsidR="00000000" w:rsidRPr="00000000">
        <w:rPr>
          <w:rtl w:val="0"/>
        </w:rPr>
      </w:r>
    </w:p>
    <w:p w:rsidR="00000000" w:rsidDel="00000000" w:rsidP="00000000" w:rsidRDefault="00000000" w:rsidRPr="00000000" w14:paraId="00000BD9">
      <w:pPr>
        <w:widowControl w:val="0"/>
        <w:numPr>
          <w:ilvl w:val="1"/>
          <w:numId w:val="10"/>
        </w:numPr>
        <w:ind w:left="1440" w:hanging="360"/>
        <w:rPr>
          <w:u w:val="none"/>
        </w:rPr>
      </w:pPr>
      <w:r w:rsidDel="00000000" w:rsidR="00000000" w:rsidRPr="00000000">
        <w:rPr>
          <w:rtl w:val="0"/>
        </w:rPr>
        <w:t xml:space="preserve">Vehicle Embodied Emissions from Injectate Transport to Pre-Processing</w:t>
      </w:r>
      <w:r w:rsidDel="00000000" w:rsidR="00000000" w:rsidRPr="00000000">
        <w:rPr>
          <w:rtl w:val="0"/>
        </w:rPr>
      </w:r>
    </w:p>
    <w:p w:rsidR="00000000" w:rsidDel="00000000" w:rsidP="00000000" w:rsidRDefault="00000000" w:rsidRPr="00000000" w14:paraId="00000BDA">
      <w:pPr>
        <w:widowControl w:val="0"/>
        <w:numPr>
          <w:ilvl w:val="1"/>
          <w:numId w:val="10"/>
        </w:numPr>
        <w:ind w:left="1440" w:hanging="360"/>
        <w:rPr>
          <w:u w:val="none"/>
        </w:rPr>
      </w:pPr>
      <w:r w:rsidDel="00000000" w:rsidR="00000000" w:rsidRPr="00000000">
        <w:rPr>
          <w:rtl w:val="0"/>
        </w:rPr>
        <w:t xml:space="preserve">Embodied Emissions from Liquid Caustic Soda for Injectate Pre-Processing</w:t>
      </w:r>
      <w:r w:rsidDel="00000000" w:rsidR="00000000" w:rsidRPr="00000000">
        <w:rPr>
          <w:rtl w:val="0"/>
        </w:rPr>
      </w:r>
    </w:p>
    <w:p w:rsidR="00000000" w:rsidDel="00000000" w:rsidP="00000000" w:rsidRDefault="00000000" w:rsidRPr="00000000" w14:paraId="00000BDB">
      <w:pPr>
        <w:widowControl w:val="0"/>
        <w:numPr>
          <w:ilvl w:val="1"/>
          <w:numId w:val="10"/>
        </w:numPr>
        <w:ind w:left="1440" w:hanging="360"/>
        <w:rPr>
          <w:u w:val="none"/>
        </w:rPr>
      </w:pPr>
      <w:r w:rsidDel="00000000" w:rsidR="00000000" w:rsidRPr="00000000">
        <w:rPr>
          <w:rtl w:val="0"/>
        </w:rPr>
        <w:t xml:space="preserve">Fuel Use from Processed Injectate Transport to Injection Site</w:t>
      </w:r>
      <w:r w:rsidDel="00000000" w:rsidR="00000000" w:rsidRPr="00000000">
        <w:rPr>
          <w:rtl w:val="0"/>
        </w:rPr>
      </w:r>
    </w:p>
    <w:p w:rsidR="00000000" w:rsidDel="00000000" w:rsidP="00000000" w:rsidRDefault="00000000" w:rsidRPr="00000000" w14:paraId="00000BDC">
      <w:pPr>
        <w:widowControl w:val="0"/>
        <w:numPr>
          <w:ilvl w:val="1"/>
          <w:numId w:val="10"/>
        </w:numPr>
        <w:ind w:left="1440" w:hanging="360"/>
        <w:rPr>
          <w:u w:val="none"/>
        </w:rPr>
      </w:pPr>
      <w:r w:rsidDel="00000000" w:rsidR="00000000" w:rsidRPr="00000000">
        <w:rPr>
          <w:rtl w:val="0"/>
        </w:rPr>
        <w:t xml:space="preserve">Vehicle Embodied Emissions from Processed Injectate Transport to Injection Site</w:t>
      </w:r>
      <w:r w:rsidDel="00000000" w:rsidR="00000000" w:rsidRPr="00000000">
        <w:rPr>
          <w:rtl w:val="0"/>
        </w:rPr>
      </w:r>
    </w:p>
    <w:p w:rsidR="00000000" w:rsidDel="00000000" w:rsidP="00000000" w:rsidRDefault="00000000" w:rsidRPr="00000000" w14:paraId="00000BDD">
      <w:pPr>
        <w:widowControl w:val="0"/>
        <w:numPr>
          <w:ilvl w:val="1"/>
          <w:numId w:val="10"/>
        </w:numPr>
        <w:ind w:left="1440" w:hanging="360"/>
        <w:rPr>
          <w:u w:val="none"/>
        </w:rPr>
      </w:pPr>
      <w:r w:rsidDel="00000000" w:rsidR="00000000" w:rsidRPr="00000000">
        <w:rPr>
          <w:rtl w:val="0"/>
        </w:rPr>
        <w:t xml:space="preserve">Embodied Emissions from Injection Equipment</w:t>
      </w:r>
      <w:r w:rsidDel="00000000" w:rsidR="00000000" w:rsidRPr="00000000">
        <w:rPr>
          <w:rtl w:val="0"/>
        </w:rPr>
      </w:r>
    </w:p>
    <w:p w:rsidR="00000000" w:rsidDel="00000000" w:rsidP="00000000" w:rsidRDefault="00000000" w:rsidRPr="00000000" w14:paraId="00000BDE">
      <w:pPr>
        <w:widowControl w:val="0"/>
        <w:numPr>
          <w:ilvl w:val="1"/>
          <w:numId w:val="10"/>
        </w:numPr>
        <w:ind w:left="1440" w:hanging="360"/>
        <w:rPr>
          <w:u w:val="none"/>
        </w:rPr>
      </w:pPr>
      <w:r w:rsidDel="00000000" w:rsidR="00000000" w:rsidRPr="00000000">
        <w:rPr>
          <w:rtl w:val="0"/>
        </w:rPr>
        <w:t xml:space="preserve">Carbon Content of Injected Biomass (contra-emission)</w:t>
      </w:r>
      <w:r w:rsidDel="00000000" w:rsidR="00000000" w:rsidRPr="00000000">
        <w:rPr>
          <w:rtl w:val="0"/>
        </w:rPr>
      </w:r>
    </w:p>
    <w:p w:rsidR="00000000" w:rsidDel="00000000" w:rsidP="00000000" w:rsidRDefault="00000000" w:rsidRPr="00000000" w14:paraId="00000BDF">
      <w:pPr>
        <w:widowControl w:val="0"/>
        <w:numPr>
          <w:ilvl w:val="1"/>
          <w:numId w:val="10"/>
        </w:numPr>
        <w:ind w:left="1440" w:hanging="360"/>
        <w:rPr>
          <w:u w:val="none"/>
        </w:rPr>
      </w:pPr>
      <w:r w:rsidDel="00000000" w:rsidR="00000000" w:rsidRPr="00000000">
        <w:rPr>
          <w:rtl w:val="0"/>
        </w:rPr>
        <w:t xml:space="preserve">Emissions from Sample Transport to lab</w:t>
      </w:r>
      <w:r w:rsidDel="00000000" w:rsidR="00000000" w:rsidRPr="00000000">
        <w:rPr>
          <w:rtl w:val="0"/>
        </w:rPr>
      </w:r>
    </w:p>
    <w:p w:rsidR="00000000" w:rsidDel="00000000" w:rsidP="00000000" w:rsidRDefault="00000000" w:rsidRPr="00000000" w14:paraId="00000BE0">
      <w:pPr>
        <w:widowControl w:val="0"/>
        <w:numPr>
          <w:ilvl w:val="0"/>
          <w:numId w:val="10"/>
        </w:numPr>
        <w:ind w:left="720" w:hanging="360"/>
        <w:rPr>
          <w:u w:val="none"/>
        </w:rPr>
      </w:pPr>
      <w:r w:rsidDel="00000000" w:rsidR="00000000" w:rsidRPr="00000000">
        <w:rPr>
          <w:rtl w:val="0"/>
        </w:rPr>
        <w:t xml:space="preserve">Site Emissions</w:t>
      </w:r>
      <w:r w:rsidDel="00000000" w:rsidR="00000000" w:rsidRPr="00000000">
        <w:rPr>
          <w:rtl w:val="0"/>
        </w:rPr>
      </w:r>
    </w:p>
    <w:p w:rsidR="00000000" w:rsidDel="00000000" w:rsidP="00000000" w:rsidRDefault="00000000" w:rsidRPr="00000000" w14:paraId="00000BE1">
      <w:pPr>
        <w:widowControl w:val="0"/>
        <w:numPr>
          <w:ilvl w:val="1"/>
          <w:numId w:val="10"/>
        </w:numPr>
        <w:ind w:left="1440" w:hanging="360"/>
        <w:rPr>
          <w:u w:val="none"/>
        </w:rPr>
      </w:pPr>
      <w:r w:rsidDel="00000000" w:rsidR="00000000" w:rsidRPr="00000000">
        <w:rPr>
          <w:rtl w:val="0"/>
        </w:rPr>
        <w:t xml:space="preserve">Electricity Use from Injectate Pre-Processing</w:t>
      </w:r>
      <w:r w:rsidDel="00000000" w:rsidR="00000000" w:rsidRPr="00000000">
        <w:rPr>
          <w:rtl w:val="0"/>
        </w:rPr>
      </w:r>
    </w:p>
    <w:p w:rsidR="00000000" w:rsidDel="00000000" w:rsidP="00000000" w:rsidRDefault="00000000" w:rsidRPr="00000000" w14:paraId="00000BE2">
      <w:pPr>
        <w:widowControl w:val="0"/>
        <w:numPr>
          <w:ilvl w:val="1"/>
          <w:numId w:val="10"/>
        </w:numPr>
        <w:ind w:left="1440" w:hanging="360"/>
        <w:rPr>
          <w:u w:val="none"/>
        </w:rPr>
      </w:pPr>
      <w:r w:rsidDel="00000000" w:rsidR="00000000" w:rsidRPr="00000000">
        <w:rPr>
          <w:rtl w:val="0"/>
        </w:rPr>
        <w:t xml:space="preserve">Fuel Use from Injectate Pre-Processing</w:t>
      </w:r>
      <w:r w:rsidDel="00000000" w:rsidR="00000000" w:rsidRPr="00000000">
        <w:rPr>
          <w:rtl w:val="0"/>
        </w:rPr>
      </w:r>
    </w:p>
    <w:p w:rsidR="00000000" w:rsidDel="00000000" w:rsidP="00000000" w:rsidRDefault="00000000" w:rsidRPr="00000000" w14:paraId="00000BE3">
      <w:pPr>
        <w:widowControl w:val="0"/>
        <w:numPr>
          <w:ilvl w:val="1"/>
          <w:numId w:val="10"/>
        </w:numPr>
        <w:ind w:left="1440" w:hanging="360"/>
        <w:rPr>
          <w:u w:val="none"/>
        </w:rPr>
      </w:pPr>
      <w:r w:rsidDel="00000000" w:rsidR="00000000" w:rsidRPr="00000000">
        <w:rPr>
          <w:rtl w:val="0"/>
        </w:rPr>
        <w:t xml:space="preserve">Fuel Use from Consumables Delivery Transport</w:t>
      </w:r>
      <w:r w:rsidDel="00000000" w:rsidR="00000000" w:rsidRPr="00000000">
        <w:rPr>
          <w:rtl w:val="0"/>
        </w:rPr>
      </w:r>
    </w:p>
    <w:p w:rsidR="00000000" w:rsidDel="00000000" w:rsidP="00000000" w:rsidRDefault="00000000" w:rsidRPr="00000000" w14:paraId="00000BE4">
      <w:pPr>
        <w:widowControl w:val="0"/>
        <w:numPr>
          <w:ilvl w:val="1"/>
          <w:numId w:val="10"/>
        </w:numPr>
        <w:ind w:left="1440" w:hanging="360"/>
        <w:rPr>
          <w:u w:val="none"/>
        </w:rPr>
      </w:pPr>
      <w:r w:rsidDel="00000000" w:rsidR="00000000" w:rsidRPr="00000000">
        <w:rPr>
          <w:rtl w:val="0"/>
        </w:rPr>
        <w:t xml:space="preserve">Embodied Emissions from Consumables Delivery Transport</w:t>
      </w:r>
      <w:r w:rsidDel="00000000" w:rsidR="00000000" w:rsidRPr="00000000">
        <w:rPr>
          <w:rtl w:val="0"/>
        </w:rPr>
      </w:r>
    </w:p>
    <w:p w:rsidR="00000000" w:rsidDel="00000000" w:rsidP="00000000" w:rsidRDefault="00000000" w:rsidRPr="00000000" w14:paraId="00000BE5">
      <w:pPr>
        <w:widowControl w:val="0"/>
        <w:numPr>
          <w:ilvl w:val="1"/>
          <w:numId w:val="10"/>
        </w:numPr>
        <w:ind w:left="1440" w:hanging="360"/>
        <w:rPr>
          <w:u w:val="none"/>
        </w:rPr>
      </w:pPr>
      <w:r w:rsidDel="00000000" w:rsidR="00000000" w:rsidRPr="00000000">
        <w:rPr>
          <w:rtl w:val="0"/>
        </w:rPr>
        <w:t xml:space="preserve">Electricity Use from Injection</w:t>
      </w:r>
      <w:r w:rsidDel="00000000" w:rsidR="00000000" w:rsidRPr="00000000">
        <w:rPr>
          <w:rtl w:val="0"/>
        </w:rPr>
      </w:r>
    </w:p>
    <w:p w:rsidR="00000000" w:rsidDel="00000000" w:rsidP="00000000" w:rsidRDefault="00000000" w:rsidRPr="00000000" w14:paraId="00000BE6">
      <w:pPr>
        <w:widowControl w:val="0"/>
        <w:numPr>
          <w:ilvl w:val="1"/>
          <w:numId w:val="10"/>
        </w:numPr>
        <w:ind w:left="1440" w:hanging="360"/>
        <w:rPr>
          <w:u w:val="none"/>
        </w:rPr>
      </w:pPr>
      <w:r w:rsidDel="00000000" w:rsidR="00000000" w:rsidRPr="00000000">
        <w:rPr>
          <w:rtl w:val="0"/>
        </w:rPr>
        <w:t xml:space="preserve">Fuel Use from Injection</w:t>
      </w:r>
      <w:r w:rsidDel="00000000" w:rsidR="00000000" w:rsidRPr="00000000">
        <w:rPr>
          <w:rtl w:val="0"/>
        </w:rPr>
      </w:r>
    </w:p>
    <w:p w:rsidR="00000000" w:rsidDel="00000000" w:rsidP="00000000" w:rsidRDefault="00000000" w:rsidRPr="00000000" w14:paraId="00000BE7">
      <w:pPr>
        <w:widowControl w:val="0"/>
        <w:numPr>
          <w:ilvl w:val="0"/>
          <w:numId w:val="10"/>
        </w:numPr>
        <w:ind w:left="720" w:hanging="360"/>
        <w:rPr>
          <w:u w:val="none"/>
        </w:rPr>
      </w:pPr>
      <w:r w:rsidDel="00000000" w:rsidR="00000000" w:rsidRPr="00000000">
        <w:rPr>
          <w:rtl w:val="0"/>
        </w:rPr>
        <w:t xml:space="preserve">All emissions from Charm bio-oil production</w:t>
      </w:r>
      <w:r w:rsidDel="00000000" w:rsidR="00000000" w:rsidRPr="00000000">
        <w:rPr>
          <w:rtl w:val="0"/>
        </w:rPr>
      </w:r>
    </w:p>
    <w:p w:rsidR="00000000" w:rsidDel="00000000" w:rsidP="00000000" w:rsidRDefault="00000000" w:rsidRPr="00000000" w14:paraId="00000BE8">
      <w:pPr>
        <w:widowControl w:val="0"/>
        <w:numPr>
          <w:ilvl w:val="1"/>
          <w:numId w:val="10"/>
        </w:numPr>
        <w:ind w:left="1440" w:hanging="360"/>
        <w:rPr>
          <w:u w:val="none"/>
        </w:rPr>
      </w:pPr>
      <w:r w:rsidDel="00000000" w:rsidR="00000000" w:rsidRPr="00000000">
        <w:rPr>
          <w:rtl w:val="0"/>
        </w:rPr>
        <w:t xml:space="preserve">All emissions (process and embodied) are aggregated at the site level and allocated across all pyrolysis products produced during a given Production Period</w:t>
      </w:r>
      <w:r w:rsidDel="00000000" w:rsidR="00000000" w:rsidRPr="00000000">
        <w:rPr>
          <w:rtl w:val="0"/>
        </w:rPr>
      </w:r>
    </w:p>
    <w:p w:rsidR="00000000" w:rsidDel="00000000" w:rsidP="00000000" w:rsidRDefault="00000000" w:rsidRPr="00000000" w14:paraId="00000BE9">
      <w:pPr>
        <w:widowControl w:val="0"/>
        <w:numPr>
          <w:ilvl w:val="1"/>
          <w:numId w:val="10"/>
        </w:numPr>
        <w:ind w:left="1440" w:hanging="360"/>
        <w:rPr>
          <w:u w:val="none"/>
        </w:rPr>
      </w:pPr>
      <w:r w:rsidDel="00000000" w:rsidR="00000000" w:rsidRPr="00000000">
        <w:rPr>
          <w:rtl w:val="0"/>
        </w:rPr>
        <w:t xml:space="preserve">This means that they are calculated at the site level during production. However, when the emissions associated with a particular lot of Charm-produced bio-oil are used in the net CDR calculation of a particular removal, they are treated as lot emissions because they are associated with a particular bio-oil lot</w:t>
      </w:r>
      <w:r w:rsidDel="00000000" w:rsidR="00000000" w:rsidRPr="00000000">
        <w:rPr>
          <w:rtl w:val="0"/>
        </w:rPr>
      </w:r>
    </w:p>
    <w:p w:rsidR="00000000" w:rsidDel="00000000" w:rsidP="00000000" w:rsidRDefault="00000000" w:rsidRPr="00000000" w14:paraId="00000BEA">
      <w:pPr>
        <w:widowControl w:val="0"/>
        <w:numPr>
          <w:ilvl w:val="1"/>
          <w:numId w:val="10"/>
        </w:numPr>
        <w:ind w:left="1440" w:hanging="360"/>
        <w:rPr>
          <w:u w:val="none"/>
        </w:rPr>
      </w:pPr>
      <w:r w:rsidDel="00000000" w:rsidR="00000000" w:rsidRPr="00000000">
        <w:rPr>
          <w:rtl w:val="0"/>
        </w:rPr>
        <w:t xml:space="preserve">This distinction also relates to periodization</w:t>
      </w:r>
      <w:r w:rsidDel="00000000" w:rsidR="00000000" w:rsidRPr="00000000">
        <w:rPr>
          <w:rtl w:val="0"/>
        </w:rPr>
      </w:r>
    </w:p>
    <w:p w:rsidR="00000000" w:rsidDel="00000000" w:rsidP="00000000" w:rsidRDefault="00000000" w:rsidRPr="00000000" w14:paraId="00000BEB">
      <w:pPr>
        <w:widowControl w:val="0"/>
        <w:numPr>
          <w:ilvl w:val="2"/>
          <w:numId w:val="10"/>
        </w:numPr>
        <w:ind w:left="2160" w:hanging="360"/>
        <w:rPr>
          <w:u w:val="none"/>
        </w:rPr>
      </w:pPr>
      <w:r w:rsidDel="00000000" w:rsidR="00000000" w:rsidRPr="00000000">
        <w:rPr>
          <w:rtl w:val="0"/>
        </w:rPr>
        <w:t xml:space="preserve">A Production Period designates all of the CO2e emitted and pyrolysis products produced during a particular period at Charm’s pyrolysis facility produced between a start date and end date</w:t>
      </w:r>
      <w:r w:rsidDel="00000000" w:rsidR="00000000" w:rsidRPr="00000000">
        <w:rPr>
          <w:rtl w:val="0"/>
        </w:rPr>
      </w:r>
    </w:p>
    <w:p w:rsidR="00000000" w:rsidDel="00000000" w:rsidP="00000000" w:rsidRDefault="00000000" w:rsidRPr="00000000" w14:paraId="00000BEC">
      <w:pPr>
        <w:widowControl w:val="0"/>
        <w:numPr>
          <w:ilvl w:val="3"/>
          <w:numId w:val="10"/>
        </w:numPr>
        <w:ind w:left="2880" w:hanging="360"/>
        <w:rPr>
          <w:u w:val="none"/>
        </w:rPr>
      </w:pPr>
      <w:r w:rsidDel="00000000" w:rsidR="00000000" w:rsidRPr="00000000">
        <w:rPr>
          <w:rtl w:val="0"/>
        </w:rPr>
        <w:t xml:space="preserve">All emissions produced during a given Production Period are allocated to the injectable pyrolysis products produced during that period</w:t>
      </w:r>
      <w:r w:rsidDel="00000000" w:rsidR="00000000" w:rsidRPr="00000000">
        <w:rPr>
          <w:rtl w:val="0"/>
        </w:rPr>
      </w:r>
    </w:p>
    <w:p w:rsidR="00000000" w:rsidDel="00000000" w:rsidP="00000000" w:rsidRDefault="00000000" w:rsidRPr="00000000" w14:paraId="00000BED">
      <w:pPr>
        <w:widowControl w:val="0"/>
        <w:numPr>
          <w:ilvl w:val="3"/>
          <w:numId w:val="10"/>
        </w:numPr>
        <w:ind w:left="2880" w:hanging="360"/>
        <w:rPr>
          <w:u w:val="none"/>
        </w:rPr>
      </w:pPr>
      <w:r w:rsidDel="00000000" w:rsidR="00000000" w:rsidRPr="00000000">
        <w:rPr>
          <w:rtl w:val="0"/>
        </w:rPr>
        <w:t xml:space="preserve">As injectable pyrolysis products are sequestered, the allocated emissions are deducted from the Net CDR associated with the removal. This calculation is made during the Reporting Period during which the injection occurs</w:t>
      </w:r>
      <w:r w:rsidDel="00000000" w:rsidR="00000000" w:rsidRPr="00000000">
        <w:rPr>
          <w:rtl w:val="0"/>
        </w:rPr>
      </w:r>
    </w:p>
    <w:p w:rsidR="00000000" w:rsidDel="00000000" w:rsidP="00000000" w:rsidRDefault="00000000" w:rsidRPr="00000000" w14:paraId="00000BEE">
      <w:pPr>
        <w:widowControl w:val="0"/>
        <w:numPr>
          <w:ilvl w:val="2"/>
          <w:numId w:val="10"/>
        </w:numPr>
        <w:ind w:left="2160" w:hanging="360"/>
        <w:rPr>
          <w:u w:val="none"/>
        </w:rPr>
      </w:pPr>
      <w:r w:rsidDel="00000000" w:rsidR="00000000" w:rsidRPr="00000000">
        <w:rPr>
          <w:rtl w:val="0"/>
        </w:rPr>
        <w:t xml:space="preserve">A Reporting Period designates the reporting of all removals completed between a start and end date and the reporting of associated CDR calculations</w:t>
      </w:r>
      <w:r w:rsidDel="00000000" w:rsidR="00000000" w:rsidRPr="00000000">
        <w:rPr>
          <w:rtl w:val="0"/>
        </w:rPr>
      </w:r>
    </w:p>
    <w:p w:rsidR="00000000" w:rsidDel="00000000" w:rsidP="00000000" w:rsidRDefault="00000000" w:rsidRPr="00000000" w14:paraId="00000BEF">
      <w:pPr>
        <w:widowControl w:val="0"/>
        <w:numPr>
          <w:ilvl w:val="3"/>
          <w:numId w:val="10"/>
        </w:numPr>
        <w:ind w:left="2880" w:hanging="360"/>
        <w:rPr>
          <w:u w:val="none"/>
        </w:rPr>
      </w:pPr>
      <w:r w:rsidDel="00000000" w:rsidR="00000000" w:rsidRPr="00000000">
        <w:rPr>
          <w:rtl w:val="0"/>
        </w:rPr>
        <w:t xml:space="preserve">Emissions associated with the production of pyrolysis products are netted out against the Net CDR claimed during the Reporting Period during which they are injected</w:t>
      </w:r>
      <w:r w:rsidDel="00000000" w:rsidR="00000000" w:rsidRPr="00000000">
        <w:rPr>
          <w:rtl w:val="0"/>
        </w:rPr>
      </w:r>
    </w:p>
    <w:p>
      <w:pPr>
        <w:pStyle w:val="Heading2"/>
      </w:pPr>
      <w:r>
        <w:t xml:space="preserve">11. Well Closure and Remediation Plan</w:t>
      </w:r>
    </w:p>
    <w:p>
      <w:r>
        <w:t>Location: Basco 6 EW, Evangeline Parish, Louisiana</w:t>
      </w:r>
    </w:p>
    <w:p>
      <w:pPr>
        <w:pStyle w:val="Heading3"/>
      </w:pPr>
      <w:r>
        <w:t>Preliminary Work and Notifications</w:t>
      </w:r>
    </w:p>
    <w:p>
      <w:r>
        <w:t>Prior to initiating the closure of the injection well, the operator shall notify the Louisiana Department of Natural Resources (LDNR) Office of Conservation by submitting a completed Form UIC-23. This notification must be provided at least ten days in advance of the intended start date of plugging and abandonment (P&amp;A) operations. As part of the preparation, a mechanical integrity test (MIT) will be conducted to evaluate the condition of the well and confirm the integrity of the casing and tubing. If issues are detected, they will be documented and incorporated into the final plugging design.</w:t>
      </w:r>
    </w:p>
    <w:p>
      <w:r>
        <w:t>A review of all available well records will be undertaken to inform the P&amp;A approach. This review will include analysis of drilling and completion reports, cement bond logs (CBL), casing and tubing schematics, and any historical workover documentation. These data will guide decisions about plug placement and the required cement volumes to ensure a secure and permanent abandonment.</w:t>
      </w:r>
    </w:p>
    <w:p>
      <w:r>
        <w:t>After the well has reached the end of injection, but prior to commencing P&amp;A operations, the well will be shut-in and monitored to ensure bio-oil is stable. Once stability is verified, the well will be cleared for preparation to start plugging operations.</w:t>
      </w:r>
    </w:p>
    <w:p>
      <w:r>
        <w:t>Wellbore Preparation</w:t>
      </w:r>
    </w:p>
    <w:p>
      <w:r>
        <w:t>The plugging operations will begin with the removal of any downhole equipment, including injection tubing and the packer, to ensure clear access to the wellbore. Once these components are extracted, the well will be circulated with clean fluid to displace residual injection fluids and suspended solids from the wellbore. Wireline logs will be run in accordance with the UIC permit, including corrosion inspection and final vertical saturation. A caliper log will also be run to assess the internal diameter and condition of the casing to verify it can support planned plug placements without risk of washout or collapse.</w:t>
      </w:r>
    </w:p>
    <w:p>
      <w:pPr>
        <w:pStyle w:val="Heading3"/>
      </w:pPr>
      <w:r>
        <w:t>Plugging Operations</w:t>
      </w:r>
    </w:p>
    <w:p>
      <w:r>
        <w:t>The plugging plan for this well includes the strategic placement of cement plugs throughout the wellbore to isolate any perforated zones, protect underground sources of drinking water (USDW), and secure the surface. At the base of the well, a cement plug will be set to cover the bottom perforation or the base of the injection zone, with a typical plug length of at least 50 feet. A second plug will be placed across the casing shoe or the base of the USDW, extending for approximately 100 feet to ensure zonal isolation.</w:t>
      </w:r>
    </w:p>
    <w:p>
      <w:r>
        <w:t>A surface plug will then be placed across the casing shoe, generally from 50 feet below to 50 feet above the shoe, for a total length of 100 feet. Finally, a shallow surface seal plug will be installed within the top 25 feet of the well to provide a protective barrier near the ground surface. All cement used will conform to API Class A specifications and may be modified with additives such as retarders or accelerators to accommodate specific well conditions, such as temperature or pressure.</w:t>
      </w:r>
    </w:p>
    <w:p>
      <w:pPr>
        <w:pStyle w:val="Heading3"/>
      </w:pPr>
      <w:r>
        <w:t>Casing and Surface Equipment</w:t>
      </w:r>
    </w:p>
    <w:p>
      <w:r>
        <w:t>Following the installation of cement plugs, the production casing will be cut approximately five feet below ground level using mechanical cutting tools. All surface equipment, including the wellhead and associated valves, will be removed to eliminate any above-ground hazards. A steel plate will be welded over the exposed casing stub to serve as a permanent barrier. In cases where venting is necessary, a vented cap may be installed instead. The site will then be secured, and appropriate signage will be installed to mark the well location for future reference.</w:t>
      </w:r>
    </w:p>
    <w:p>
      <w:pPr>
        <w:pStyle w:val="Heading3"/>
      </w:pPr>
      <w:r>
        <w:t>Site Remediation</w:t>
      </w:r>
    </w:p>
    <w:p>
      <w:r>
        <w:t>Upon completion of plugging activities, the well pad and surrounding site will be reclaimed. Grading operations will restore the terrain to its original contours or to a condition compatible with surrounding land use. All debris and materials from the P&amp;A operation will be removed from the location. To encourage environmental recovery, the site will be reseeded with an approved native vegetation mix.</w:t>
      </w:r>
    </w:p>
    <w:p>
      <w:r>
        <w:t>If required by site history or proximity to sensitive receptors, soil and groundwater samples may be collected to test for residual hydrocarbons, chlorides, or other contaminants associated with historical injection activities. These samples will be analyzed and results submitted to the relevant regulatory agencies to confirm that environmental remediation standards have been met.</w:t>
      </w:r>
    </w:p>
    <w:p>
      <w:pPr>
        <w:pStyle w:val="Heading3"/>
      </w:pPr>
      <w:r>
        <w:t>Final Reporting</w:t>
      </w:r>
    </w:p>
    <w:p>
      <w:r>
        <w:t>Following the successful completion of well plugging and site remediation, a Plug and Abandonment Report will be submitted to the LDNR using Form UIC-24. This report will include details such as the depth and composition of each cement plug, the results of pressure testing, and any supporting logs or diagrams generated during the operation. The report will also include photographic documentation and post-operation site descriptions as necessary. The operator will request that the well status be formally updated to "P&amp;A" in the SONRIS database maintained by the LDNR.</w:t>
      </w:r>
    </w:p>
    <w:p>
      <w:pPr>
        <w:pStyle w:val="Heading2"/>
      </w:pPr>
      <w:r>
        <w:t xml:space="preserve">12. Supplementary Subsurface Characterization</w:t>
      </w:r>
    </w:p>
    <w:p>
      <w:pPr/>
      <w:r>
        <w:t>Basco 6 EW</w:t>
      </w:r>
      <w:r xmlns:a="http://schemas.openxmlformats.org/drawingml/2006/main" xmlns:pic="http://schemas.openxmlformats.org/drawingml/2006/picture" w:rsidDel="00000000" w:rsidR="00000000" w:rsidRPr="00000000">
        <w:drawing>
          <wp:anchor allowOverlap="1" behindDoc="0" distB="57150" distT="57150" distL="57150" distR="57150" hidden="0" layoutInCell="1" locked="0" relativeHeight="0" simplePos="0">
            <wp:simplePos x="0" y="0"/>
            <wp:positionH relativeFrom="column">
              <wp:posOffset>2143125</wp:posOffset>
            </wp:positionH>
            <wp:positionV relativeFrom="paragraph">
              <wp:posOffset>194707</wp:posOffset>
            </wp:positionV>
            <wp:extent cx="3343275" cy="1757363"/>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43275" cy="1757363"/>
                    </a:xfrm>
                    <a:prstGeom prst="rect"/>
                    <a:ln/>
                  </pic:spPr>
                </pic:pic>
              </a:graphicData>
            </a:graphic>
          </wp:anchor>
        </w:drawing>
      </w:r>
    </w:p>
    <w:p>
      <w:r>
        <w:t xml:space="preserve">The sequestration interval is within the onshore Lower–Middle Miocene deltaic system sourced by the ancestral Mississippi. At the Basco 6 EW location, the section comprises progradational shoreface, or delta front sands separated by marine mudstones. The overall dip is gently basinward (south), and accommodation increased downdip during Miocene high sedimentation rates, yielding thicker, cleaner sand bodies basinward with intraformational shales that act as baffles [1]. Regionally, Miocene reservoirs in south Louisiana are quartz-rich and moderately texturally mature, with diagenetic overprint (calcite cementation, compaction) increasing downdip [2], consistent with our XRD from Basco fill (≈84% SiO₂ with minor feldspar, calcite, clays, magnetite). This fabric supports good injectivity in the perforated sands and predictable vertical heterogeneity due to shale partings and flooding surfaces. </w:t>
      </w:r>
    </w:p>
    <w:p>
      <w:pPr>
        <w:pStyle w:val="Heading3"/>
      </w:pPr>
      <w:r>
        <w:t>Confining layer(s) characterization</w:t>
      </w:r>
    </w:p>
    <w:p>
      <w:r>
        <w:t>The perforated Miocene sands are underlain and overlain by thick marine mudstones and intraformational shales that provide low-transmissivity barriers. Log character (GR/spectral GR and density-neutron) indicates laterally continuous shale packages bracketing each sand lobe; these, together with multiple intra-sand baffles, hydraulically isolate the injection interval from the lowest USDW (~1,170’ MD). No free gas saturation is indicated on cased-hole logs, and baseline gases are trace-level only, consistent with aqueous solution gas rather than mobile gas.</w:t>
      </w:r>
    </w:p>
    <w:p>
      <w:pPr>
        <w:pStyle w:val="Heading3"/>
      </w:pPr>
      <w:r>
        <w:t>Faults and transmissivity</w:t>
      </w:r>
    </w:p>
    <w:p>
      <w:r>
        <w:t>There is no mapped faulting at the well or immediate lease based on available well control; however, seismic control was not licensed. Regionally, Louisiana’s onshore growth-fault trends are best developed toward the coast (e.g., Baton Rouge–Denham Springs–Scotlandville system) and are associated with Miocene–Pliocene strata at ~1,200–2,000 ft in the Baton Rouge aquifer system; inland “central Louisiana” occurrences such as at the Basco 6 EW location are fewer and smaller in throw than coastal growth faults [3, 4]. In the absence of site seismic, we assume no transmissive fault intersecting the interval. Given bio-oil’s density and limited mobility, leakage through a fault system is unlikely.</w:t>
      </w:r>
    </w:p>
    <w:p>
      <w:pPr>
        <w:pStyle w:val="Heading3"/>
      </w:pPr>
      <w:r>
        <w:t>Pressure margin / MASIP</w:t>
      </w:r>
      <w:r xmlns:a="http://schemas.openxmlformats.org/drawingml/2006/main" xmlns:pic="http://schemas.openxmlformats.org/drawingml/2006/picture" w:rsidDel="00000000" w:rsidR="00000000" w:rsidRPr="00000000">
        <w:drawing>
          <wp:anchor allowOverlap="1" behindDoc="0" distB="57150" distT="57150" distL="57150" distR="57150" hidden="0" layoutInCell="1" locked="0" relativeHeight="0" simplePos="0">
            <wp:simplePos x="0" y="0"/>
            <wp:positionH relativeFrom="column">
              <wp:posOffset>3</wp:posOffset>
            </wp:positionH>
            <wp:positionV relativeFrom="paragraph">
              <wp:posOffset>171450</wp:posOffset>
            </wp:positionV>
            <wp:extent cx="5486397" cy="2754922"/>
            <wp:effectExtent b="0" l="0" r="0" t="0"/>
            <wp:wrapSquare wrapText="bothSides" distB="57150" distT="57150" distL="57150" distR="5715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397" cy="2754922"/>
                    </a:xfrm>
                    <a:prstGeom prst="rect"/>
                    <a:ln/>
                  </pic:spPr>
                </pic:pic>
              </a:graphicData>
            </a:graphic>
          </wp:anchor>
        </w:drawing>
      </w:r>
    </w:p>
    <w:p>
      <w:r>
        <w:t>The Maximum Authorized Surface Injection Pressure (MASIP) is set by the regulator as a function of depth and formation fracture resistance to protect USDWs. In Louisiana (Class V primacy), IMD/Office of Conservation establishes MASIP using formulas or fracture-gradient/step-rate testing; if a recompletion moves the interval shallower, a new MASIP is issued for that depth [5]. Our operations remain well below MASIP, providing a safety margin to avoid fracture initiation or propagation of the confining units.</w:t>
      </w:r>
    </w:p>
    <w:p>
      <w:r>
        <w:t>The Basco 6 SWD’s currently perforated interval (black bars, far left) within the Miocene Formation, likely isolated from one another. The carbon:oxygen response, “sigma”, and spectral gamma ray values (blue, green and red colorfill) will inform the presence of bio-oil post-injection.</w:t>
      </w:r>
    </w:p>
    <w:p>
      <w:pPr>
        <w:pStyle w:val="Heading3"/>
      </w:pPr>
      <w:r>
        <w:t>Dissolved Inorganic Carbon (DIC) and Baseline Geochemistry</w:t>
      </w:r>
    </w:p>
    <w:p>
      <w:r>
        <w:t>Formation water chemistry provides a quantitative basis for DIC concentrations in the Basco 6 SWD reservoir interval (see table below). Alkalinity and bicarbonate were measured at 502 mg/L as HCO₃⁻, with carbonate below detection (&lt; 2 mg/L) and pH at 7.7. At this pH, the carbonate system is dominated by bicarbonate. Converting the bicarbonate concentration to a carbon-equivalent yields a DIC concentration of approximately 100 mg/L as C.</w:t>
      </w:r>
    </w:p>
    <w:p>
      <w:r>
        <w:t>Complementing this, isotopic analysis of dissolved inorganic carbon reported δ¹³C of DIC = +5.4‰ (VPDB). Together, these results establish both concentration and isotopic baseline conditions for dissolved inorganic carbon in the formation fluid.</w:t>
      </w:r>
    </w:p>
    <w:p>
      <w:r>
        <w:t>Baseline hydrocarbon gas composition was also determined by ASTM D1946 analysis of downhole gas samples, with methane ranging from 0.045–1.2% v/v, carbon dioxide at ~0.06–0.08% v/v, and nitrogen and oxygen/argon comprising the balance. These data provide a quantitative hydrocarbon baseline for the reservoir environment and reflect trace amounts of hydrocarbon saturation. Cased hole logging (pulsed neutron) showed no significant gas saturation, consistent with these results. The concentrations are too low to indicate mobile or volumetrically meaningful hydrocarbons in the pore system.</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Matrix</w:t>
            </w:r>
          </w:p>
        </w:tc>
        <w:tc>
          <w:tcPr>
            <w:tcW w:type="dxa" w:w="1728"/>
          </w:tcPr>
          <w:p>
            <w:r>
              <w:rPr>
                <w:b/>
              </w:rPr>
              <w:t>Parameter</w:t>
            </w:r>
          </w:p>
        </w:tc>
        <w:tc>
          <w:tcPr>
            <w:tcW w:type="dxa" w:w="1728"/>
          </w:tcPr>
          <w:p>
            <w:r>
              <w:rPr>
                <w:b/>
              </w:rPr>
              <w:t>Result / Range</w:t>
            </w:r>
          </w:p>
        </w:tc>
        <w:tc>
          <w:tcPr>
            <w:tcW w:type="dxa" w:w="1728"/>
          </w:tcPr>
          <w:p>
            <w:r>
              <w:rPr>
                <w:b/>
              </w:rPr>
              <w:t>Units</w:t>
            </w:r>
          </w:p>
        </w:tc>
        <w:tc>
          <w:tcPr>
            <w:tcW w:type="dxa" w:w="1728"/>
          </w:tcPr>
          <w:p>
            <w:r>
              <w:rPr>
                <w:b/>
              </w:rPr>
              <w:t>Method</w:t>
            </w:r>
          </w:p>
        </w:tc>
      </w:tr>
      <w:tr>
        <w:tc>
          <w:tcPr>
            <w:tcW w:type="dxa" w:w="1728"/>
          </w:tcPr>
          <w:p>
            <w:r>
              <w:t>Formation fluid</w:t>
            </w:r>
          </w:p>
        </w:tc>
        <w:tc>
          <w:tcPr>
            <w:tcW w:type="dxa" w:w="1728"/>
          </w:tcPr>
          <w:p>
            <w:r>
              <w:t>Bicarbonate (HCO₃⁻)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Carbonate (CO₃²⁻)</w:t>
            </w:r>
          </w:p>
        </w:tc>
        <w:tc>
          <w:tcPr>
            <w:tcW w:type="dxa" w:w="1728"/>
          </w:tcPr>
          <w:p>
            <w:r>
              <w:t>&lt; 2</w:t>
            </w:r>
          </w:p>
        </w:tc>
        <w:tc>
          <w:tcPr>
            <w:tcW w:type="dxa" w:w="1728"/>
          </w:tcPr>
          <w:p>
            <w:r>
              <w:t>mg/L</w:t>
            </w:r>
          </w:p>
        </w:tc>
        <w:tc>
          <w:tcPr>
            <w:tcW w:type="dxa" w:w="1728"/>
          </w:tcPr>
          <w:p>
            <w:r>
              <w:t>EPA 2320B-2011</w:t>
            </w:r>
          </w:p>
        </w:tc>
      </w:tr>
      <w:tr>
        <w:tc>
          <w:tcPr>
            <w:tcW w:type="dxa" w:w="1728"/>
          </w:tcPr>
          <w:p>
            <w:r>
              <w:t>Formation fluid</w:t>
            </w:r>
          </w:p>
        </w:tc>
        <w:tc>
          <w:tcPr>
            <w:tcW w:type="dxa" w:w="1728"/>
          </w:tcPr>
          <w:p>
            <w:r>
              <w:t>Alkalinity (as CaCO₃)</w:t>
            </w:r>
          </w:p>
        </w:tc>
        <w:tc>
          <w:tcPr>
            <w:tcW w:type="dxa" w:w="1728"/>
          </w:tcPr>
          <w:p>
            <w:r>
              <w:t>502</w:t>
            </w:r>
          </w:p>
        </w:tc>
        <w:tc>
          <w:tcPr>
            <w:tcW w:type="dxa" w:w="1728"/>
          </w:tcPr>
          <w:p>
            <w:r>
              <w:t>mg/L</w:t>
            </w:r>
          </w:p>
        </w:tc>
        <w:tc>
          <w:tcPr>
            <w:tcW w:type="dxa" w:w="1728"/>
          </w:tcPr>
          <w:p>
            <w:r>
              <w:t>EPA 2320B-2011</w:t>
            </w:r>
          </w:p>
        </w:tc>
      </w:tr>
      <w:tr>
        <w:tc>
          <w:tcPr>
            <w:tcW w:type="dxa" w:w="1728"/>
          </w:tcPr>
          <w:p>
            <w:r>
              <w:t>Formation fluid</w:t>
            </w:r>
          </w:p>
        </w:tc>
        <w:tc>
          <w:tcPr>
            <w:tcW w:type="dxa" w:w="1728"/>
          </w:tcPr>
          <w:p>
            <w:r>
              <w:t>pH</w:t>
            </w:r>
          </w:p>
        </w:tc>
        <w:tc>
          <w:tcPr>
            <w:tcW w:type="dxa" w:w="1728"/>
          </w:tcPr>
          <w:p>
            <w:r>
              <w:t>7.7</w:t>
            </w:r>
          </w:p>
        </w:tc>
        <w:tc>
          <w:tcPr>
            <w:tcW w:type="dxa" w:w="1728"/>
          </w:tcPr>
          <w:p>
            <w:r>
              <w:t>s.u.</w:t>
            </w:r>
          </w:p>
        </w:tc>
        <w:tc>
          <w:tcPr>
            <w:tcW w:type="dxa" w:w="1728"/>
          </w:tcPr>
          <w:p>
            <w:r>
              <w:t>EPA 4500H+B</w:t>
            </w:r>
          </w:p>
        </w:tc>
      </w:tr>
      <w:tr>
        <w:tc>
          <w:tcPr>
            <w:tcW w:type="dxa" w:w="1728"/>
          </w:tcPr>
          <w:p>
            <w:r>
              <w:t>Formation fluid</w:t>
            </w:r>
          </w:p>
        </w:tc>
        <w:tc>
          <w:tcPr>
            <w:tcW w:type="dxa" w:w="1728"/>
          </w:tcPr>
          <w:p>
            <w:r>
              <w:t>DIC (as C, inferred)</w:t>
            </w:r>
          </w:p>
        </w:tc>
        <w:tc>
          <w:tcPr>
            <w:tcW w:type="dxa" w:w="1728"/>
          </w:tcPr>
          <w:p>
            <w:r>
              <w:t>~100</w:t>
            </w:r>
          </w:p>
        </w:tc>
        <w:tc>
          <w:tcPr>
            <w:tcW w:type="dxa" w:w="1728"/>
          </w:tcPr>
          <w:p>
            <w:r>
              <w:t>mg/L</w:t>
            </w:r>
          </w:p>
        </w:tc>
        <w:tc>
          <w:tcPr>
            <w:tcW w:type="dxa" w:w="1728"/>
          </w:tcPr>
          <w:p>
            <w:r>
              <w:t>Calculated from HCO₃⁻</w:t>
            </w:r>
          </w:p>
        </w:tc>
      </w:tr>
      <w:tr>
        <w:tc>
          <w:tcPr>
            <w:tcW w:type="dxa" w:w="1728"/>
          </w:tcPr>
          <w:p>
            <w:r>
              <w:t>Formation fluid</w:t>
            </w:r>
          </w:p>
        </w:tc>
        <w:tc>
          <w:tcPr>
            <w:tcW w:type="dxa" w:w="1728"/>
          </w:tcPr>
          <w:p>
            <w:r>
              <w:t>δ¹³C of DIC</w:t>
            </w:r>
          </w:p>
        </w:tc>
        <w:tc>
          <w:tcPr>
            <w:tcW w:type="dxa" w:w="1728"/>
          </w:tcPr>
          <w:p>
            <w:r>
              <w:t>+5.4</w:t>
            </w:r>
          </w:p>
        </w:tc>
        <w:tc>
          <w:tcPr>
            <w:tcW w:type="dxa" w:w="1728"/>
          </w:tcPr>
          <w:p>
            <w:r>
              <w:t>‰ VPDB</w:t>
            </w:r>
          </w:p>
        </w:tc>
        <w:tc>
          <w:tcPr>
            <w:tcW w:type="dxa" w:w="1728"/>
          </w:tcPr>
          <w:p>
            <w:r>
              <w:t>Isotech Lab (2024)</w:t>
            </w:r>
          </w:p>
        </w:tc>
      </w:tr>
      <w:tr>
        <w:tc>
          <w:tcPr>
            <w:tcW w:type="dxa" w:w="1728"/>
          </w:tcPr>
          <w:p>
            <w:r>
              <w:t>Formation fluid</w:t>
            </w:r>
          </w:p>
        </w:tc>
        <w:tc>
          <w:tcPr>
            <w:tcW w:type="dxa" w:w="1728"/>
          </w:tcPr>
          <w:p>
            <w:r>
              <w:t>δD of water</w:t>
            </w:r>
          </w:p>
        </w:tc>
        <w:tc>
          <w:tcPr>
            <w:tcW w:type="dxa" w:w="1728"/>
          </w:tcPr>
          <w:p>
            <w:r>
              <w:t>-16.4</w:t>
            </w:r>
          </w:p>
        </w:tc>
        <w:tc>
          <w:tcPr>
            <w:tcW w:type="dxa" w:w="1728"/>
          </w:tcPr>
          <w:p>
            <w:r>
              <w:t>‰ VSMOW</w:t>
            </w:r>
          </w:p>
        </w:tc>
        <w:tc>
          <w:tcPr>
            <w:tcW w:type="dxa" w:w="1728"/>
          </w:tcPr>
          <w:p>
            <w:r>
              <w:t>Isotech Lab (2024)</w:t>
            </w:r>
          </w:p>
        </w:tc>
      </w:tr>
      <w:tr>
        <w:tc>
          <w:tcPr>
            <w:tcW w:type="dxa" w:w="1728"/>
          </w:tcPr>
          <w:p>
            <w:r>
              <w:t>Formation fluid</w:t>
            </w:r>
          </w:p>
        </w:tc>
        <w:tc>
          <w:tcPr>
            <w:tcW w:type="dxa" w:w="1728"/>
          </w:tcPr>
          <w:p>
            <w:r>
              <w:t>δ¹⁸O of water</w:t>
            </w:r>
          </w:p>
        </w:tc>
        <w:tc>
          <w:tcPr>
            <w:tcW w:type="dxa" w:w="1728"/>
          </w:tcPr>
          <w:p>
            <w:r>
              <w:t>+9.78</w:t>
            </w:r>
          </w:p>
        </w:tc>
        <w:tc>
          <w:tcPr>
            <w:tcW w:type="dxa" w:w="1728"/>
          </w:tcPr>
          <w:p>
            <w:r>
              <w:t>‰ VSMOW</w:t>
            </w:r>
          </w:p>
        </w:tc>
        <w:tc>
          <w:tcPr>
            <w:tcW w:type="dxa" w:w="1728"/>
          </w:tcPr>
          <w:p>
            <w:r>
              <w:t>Isotech Lab (2024)</w:t>
            </w:r>
          </w:p>
        </w:tc>
      </w:tr>
      <w:tr>
        <w:tc>
          <w:tcPr>
            <w:tcW w:type="dxa" w:w="1728"/>
          </w:tcPr>
          <w:p>
            <w:r>
              <w:t>Gas produced from wellbore</w:t>
            </w:r>
          </w:p>
        </w:tc>
        <w:tc>
          <w:tcPr>
            <w:tcW w:type="dxa" w:w="1728"/>
          </w:tcPr>
          <w:p>
            <w:r>
              <w:t>Methane (CH₄)</w:t>
            </w:r>
          </w:p>
        </w:tc>
        <w:tc>
          <w:tcPr>
            <w:tcW w:type="dxa" w:w="1728"/>
          </w:tcPr>
          <w:p>
            <w:r>
              <w:t>0.045 – 1.2</w:t>
            </w:r>
          </w:p>
        </w:tc>
        <w:tc>
          <w:tcPr>
            <w:tcW w:type="dxa" w:w="1728"/>
          </w:tcPr>
          <w:p>
            <w:r>
              <w:t>% v/v</w:t>
            </w:r>
          </w:p>
        </w:tc>
        <w:tc>
          <w:tcPr>
            <w:tcW w:type="dxa" w:w="1728"/>
          </w:tcPr>
          <w:p>
            <w:r>
              <w:t>ASTM D1946</w:t>
            </w:r>
          </w:p>
        </w:tc>
      </w:tr>
      <w:tr>
        <w:tc>
          <w:tcPr>
            <w:tcW w:type="dxa" w:w="1728"/>
          </w:tcPr>
          <w:p>
            <w:r>
              <w:t>Gas produced from wellbore</w:t>
            </w:r>
          </w:p>
        </w:tc>
        <w:tc>
          <w:tcPr>
            <w:tcW w:type="dxa" w:w="1728"/>
          </w:tcPr>
          <w:p>
            <w:r>
              <w:t>Carbon Dioxide (CO₂)</w:t>
            </w:r>
          </w:p>
        </w:tc>
        <w:tc>
          <w:tcPr>
            <w:tcW w:type="dxa" w:w="1728"/>
          </w:tcPr>
          <w:p>
            <w:r>
              <w:t>0.061 – 0.083</w:t>
            </w:r>
          </w:p>
        </w:tc>
        <w:tc>
          <w:tcPr>
            <w:tcW w:type="dxa" w:w="1728"/>
          </w:tcPr>
          <w:p>
            <w:r>
              <w:t>% v/v</w:t>
            </w:r>
          </w:p>
        </w:tc>
        <w:tc>
          <w:tcPr>
            <w:tcW w:type="dxa" w:w="1728"/>
          </w:tcPr>
          <w:p>
            <w:r>
              <w:t>ASTM D1946</w:t>
            </w:r>
          </w:p>
        </w:tc>
      </w:tr>
      <w:tr>
        <w:tc>
          <w:tcPr>
            <w:tcW w:type="dxa" w:w="1728"/>
          </w:tcPr>
          <w:p>
            <w:r>
              <w:t>Gas produced from wellbore</w:t>
            </w:r>
          </w:p>
        </w:tc>
        <w:tc>
          <w:tcPr>
            <w:tcW w:type="dxa" w:w="1728"/>
          </w:tcPr>
          <w:p>
            <w:r>
              <w:t>Nitrogen (N₂)</w:t>
            </w:r>
          </w:p>
        </w:tc>
        <w:tc>
          <w:tcPr>
            <w:tcW w:type="dxa" w:w="1728"/>
          </w:tcPr>
          <w:p>
            <w:r>
              <w:t>77 – 78</w:t>
            </w:r>
          </w:p>
        </w:tc>
        <w:tc>
          <w:tcPr>
            <w:tcW w:type="dxa" w:w="1728"/>
          </w:tcPr>
          <w:p>
            <w:r>
              <w:t>% v/v</w:t>
            </w:r>
          </w:p>
        </w:tc>
        <w:tc>
          <w:tcPr>
            <w:tcW w:type="dxa" w:w="1728"/>
          </w:tcPr>
          <w:p>
            <w:r>
              <w:t>ASTM D1946</w:t>
            </w:r>
          </w:p>
        </w:tc>
      </w:tr>
      <w:tr>
        <w:tc>
          <w:tcPr>
            <w:tcW w:type="dxa" w:w="1728"/>
          </w:tcPr>
          <w:p>
            <w:r>
              <w:t>Gas produced from wellbore</w:t>
            </w:r>
          </w:p>
        </w:tc>
        <w:tc>
          <w:tcPr>
            <w:tcW w:type="dxa" w:w="1728"/>
          </w:tcPr>
          <w:p>
            <w:r>
              <w:t>Oxygen/Argon (O₂/Ar)</w:t>
            </w:r>
          </w:p>
        </w:tc>
        <w:tc>
          <w:tcPr>
            <w:tcW w:type="dxa" w:w="1728"/>
          </w:tcPr>
          <w:p>
            <w:r>
              <w:t>20 – 22</w:t>
            </w:r>
          </w:p>
        </w:tc>
        <w:tc>
          <w:tcPr>
            <w:tcW w:type="dxa" w:w="1728"/>
          </w:tcPr>
          <w:p>
            <w:r>
              <w:t>% v/v</w:t>
            </w:r>
          </w:p>
        </w:tc>
        <w:tc>
          <w:tcPr>
            <w:tcW w:type="dxa" w:w="1728"/>
          </w:tcPr>
          <w:p>
            <w:r>
              <w:t>ASTM D1946</w:t>
            </w:r>
          </w:p>
        </w:tc>
      </w:tr>
    </w:tbl>
    <w:p/>
    <w:p>
      <w:pPr>
        <w:pStyle w:val="Heading3"/>
      </w:pPr>
      <w:r>
        <w:t>Attachments</w:t>
      </w:r>
    </w:p>
    <w:p>
      <w:pPr>
        <w:pStyle w:val="ListBullet"/>
      </w:pPr>
      <w:r>
        <w:t>Halliburton Wireline Services, cased hole logging reservoir evaluation (</w:t>
      </w:r>
      <w:hyperlink r:id="rId13">
        <w:r>
          <w:rPr>
            <w:color w:val="1155CC"/>
            <w:u w:val="single"/>
          </w:rPr>
          <w:t>link</w:t>
        </w:r>
      </w:hyperlink>
      <w:r>
        <w:t>)</w:t>
      </w:r>
    </w:p>
    <w:p>
      <w:pPr>
        <w:pStyle w:val="ListBullet"/>
      </w:pPr>
      <w:r>
        <w:t>Stratum Reservoir (Isotech), formation fluid (solids) isotopes (</w:t>
      </w:r>
      <w:hyperlink r:id="rId14">
        <w:r>
          <w:rPr>
            <w:color w:val="1155CC"/>
            <w:u w:val="single"/>
          </w:rPr>
          <w:t>link</w:t>
        </w:r>
      </w:hyperlink>
      <w:r>
        <w:t>)</w:t>
      </w:r>
    </w:p>
    <w:p>
      <w:pPr>
        <w:pStyle w:val="ListBullet"/>
      </w:pPr>
      <w:r>
        <w:t>Stratum Reservoir (Isotech), formation fluid isotopes (</w:t>
      </w:r>
      <w:hyperlink r:id="rId15">
        <w:r>
          <w:rPr>
            <w:color w:val="1155CC"/>
            <w:u w:val="single"/>
          </w:rPr>
          <w:t>link</w:t>
        </w:r>
      </w:hyperlink>
      <w:r>
        <w:t>)</w:t>
      </w:r>
    </w:p>
    <w:p>
      <w:pPr>
        <w:pStyle w:val="ListBullet"/>
      </w:pPr>
      <w:r>
        <w:t>Green Analytical Laboratories, formation fluid DOC (</w:t>
      </w:r>
      <w:hyperlink r:id="rId16">
        <w:r>
          <w:rPr>
            <w:color w:val="1155CC"/>
            <w:u w:val="single"/>
          </w:rPr>
          <w:t>link</w:t>
        </w:r>
      </w:hyperlink>
      <w:r>
        <w:t>)</w:t>
      </w:r>
    </w:p>
    <w:p>
      <w:pPr>
        <w:pStyle w:val="ListBullet"/>
      </w:pPr>
      <w:r>
        <w:t>Air Technology Laboratories, gas sample analysis (</w:t>
      </w:r>
      <w:hyperlink r:id="rId17">
        <w:r>
          <w:rPr>
            <w:color w:val="1155CC"/>
            <w:u w:val="single"/>
          </w:rPr>
          <w:t>link</w:t>
        </w:r>
      </w:hyperlink>
      <w:r>
        <w:t>)</w:t>
      </w:r>
    </w:p>
    <w:p>
      <w:pPr>
        <w:pStyle w:val="Heading3"/>
      </w:pPr>
      <w:r>
        <w:t>References</w:t>
      </w:r>
    </w:p>
    <w:p>
      <w:pPr>
        <w:pStyle w:val="ListBullet"/>
      </w:pPr>
      <w:r>
        <w:t>Zulqarnain, M. et al. (2023) ‘GCS site selection in Saline Miocene formations in south Louisiana’, International Journal of Greenhouse Gas Control, 122, p. 103818. doi:10.1016/j.ijggc.2022.103818.</w:t>
      </w:r>
    </w:p>
    <w:p>
      <w:pPr>
        <w:pStyle w:val="ListBullet"/>
      </w:pPr>
      <w:r>
        <w:t>S. P. Dutton, R. G. Loucks, and R. J. Day-Stirrat, “Impact of regional variation in detrital mineral composition on reservoir quality in deep to Ultradeep Lower Miocene sandstones, Western Gulf of Mexico," Marine and Petroleum Geology, vol. 35, no. 1, pp. 139–153, Aug. 2012. doi:10.1016/j.marpetgeo.2012.01.006</w:t>
      </w:r>
    </w:p>
    <w:p>
      <w:pPr>
        <w:pStyle w:val="ListBullet"/>
      </w:pPr>
      <w:r>
        <w:t>Tsai, F.T.-C., &amp; Li, X. (2013). Groundwater modeling with geological uncertainty from fault and aquifer architecture in the Baton Rouge area, Louisiana (USA). Hydrogeology Journal, 21, 959–972. doi:10.1007/s10040-013-1037-5.</w:t>
      </w:r>
    </w:p>
    <w:p>
      <w:pPr>
        <w:pStyle w:val="ListBullet"/>
      </w:pPr>
      <w:r>
        <w:t>Louisiana Geological Survey. (2008). The Scotlandville, Denham Springs, and Baton Rouge Faults — A Map Guide for Real Estate Buyers, Sellers, and Developers in the Greater Baton Rouge Area. Public Information Series No. 8. Louisiana State University, Baton Rouge, LA. Available at: https://www.lsu.edu/lgs/publications/products/Free_publications/BR-Faults-Guide-2008.pdf (Accessed: 21 September 2025).</w:t>
      </w:r>
    </w:p>
    <w:p>
      <w:pPr>
        <w:pStyle w:val="ListBullet"/>
      </w:pPr>
      <w:r>
        <w:t>U.S. Environmental Protection Agency &amp; Ground Water Protection Council (2024). Class II UIC Program: Technical and Regulatory Practices. Final Webinar Slides, November 2024. Available at: https://www.gwpc.org/wp-content/uploads/2024/11/Final-Slides-Class-II-UIC-Webinar.pdf (Accessed: 21 September 2025).</w:t>
      </w:r>
    </w:p>
    <w:p>
      <w:pPr>
        <w:pStyle w:val="Heading2"/>
      </w:pPr>
      <w:r>
        <w:t xml:space="preserve">13. Emissions Methodology</w:t>
      </w:r>
    </w:p>
    <w:p>
      <w:r>
        <w:t xml:space="preserve">See the Tier 2: Combined Monitoring and Emissions Accounting Plan, tabs '6. Bio-Oil Pre-Processing &amp; Inj' and '7. Storage Monitoring (Op)'.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r9fGwKvRNlkQYo-95oX_kXeV_fvn8xZQ/view?usp=drive_link" TargetMode="External"/><Relationship Id="rId10" Type="http://schemas.openxmlformats.org/officeDocument/2006/relationships/hyperlink" Target="https://drive.google.com/file/d/1lZzij_OCHWqH6HGE-_h0cTuyTSFBqnWc/view?usp=drive_link"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rive.google.com/file/d/1UsAo0dAmYgSPfd-V3IyLVZrZtwnIfnkk/view?usp=drive_link" TargetMode="External"/><Relationship Id="rId14" Type="http://schemas.openxmlformats.org/officeDocument/2006/relationships/hyperlink" Target="https://drive.google.com/file/d/1Aqd_vScUqtP_sYnI_pvON6_Fj6DrLVhA/view?usp=sharing" TargetMode="External"/><Relationship Id="rId15" Type="http://schemas.openxmlformats.org/officeDocument/2006/relationships/hyperlink" Target="https://drive.google.com/file/d/1dKvGQy9v2CqnaJ70yi3XVJ8tuwQ-3imE/view?usp=drive_link" TargetMode="External"/><Relationship Id="rId16" Type="http://schemas.openxmlformats.org/officeDocument/2006/relationships/hyperlink" Target="https://drive.google.com/file/d/1b27gE_5d3jrzeOe8I8wX9g1xBxH4Cnz5/view?usp=sharing" TargetMode="External"/><Relationship Id="rId17" Type="http://schemas.openxmlformats.org/officeDocument/2006/relationships/hyperlink" Target="https://drive.google.com/file/d/14pLc2S87qMADDIR22JFvSpP8cvPJzhBf/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