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Tier 1: Injection Facilities</w:t>
      </w:r>
    </w:p>
    <w:p>
      <w:r>
        <w:t>Charm Industrial Bio-Oil Geologic Storage + Range &amp; Plains Biochar Design Document — Injection Facilities</w:t>
      </w:r>
    </w:p>
    <w:p/>
    <w:p>
      <w:pPr>
        <w:pStyle w:val="Heading1"/>
      </w:pPr>
      <w:r>
        <w:t>Charm — Basco 6 EW (Evangeline Parish, LA)</w:t>
      </w:r>
    </w:p>
    <w:p>
      <w:r>
        <w:t>See the sub-tabs at left for Site Location, Storage Well Overview, Site Permanence Monitoring and Permit Compliance Plan, Site Well Closure and Remediation Plan, Reversal Risk Assessment, Environmental and Social Impacts, Stakeholder Input Process, and Grievance Mechanism.</w:t>
      </w:r>
    </w:p>
    <w:p>
      <w:pPr>
        <w:pStyle w:val="Heading2"/>
      </w:pPr>
      <w:r>
        <w:t>1. Site Location</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[Storage Module] Storage well overview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shd w:val="clear" w:fill="f2f2f2"/>
          </w:tcPr>
          <w:p>
            <w:r>
              <w:rPr>
                <w:i/>
              </w:rPr>
              <w:t>Please describe the storage well used and complete the following information.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Storage well/site location (Address / GPS coordinates): 30.916251, -92.297908</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Regulatory Authority / Jurisdiction: Evangeline Parish, Louisiana</w:t>
            </w:r>
          </w:p>
        </w:tc>
      </w:tr>
    </w:tbl>
    <w:p/>
    <w:p>
      <w:pPr>
        <w:pStyle w:val="Heading2"/>
      </w:pPr>
      <w:r>
        <w:t>2. Storage Well Overview</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[Storage Module] Storage well overview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shd w:val="clear" w:fill="f2f2f2"/>
          </w:tcPr>
          <w:p>
            <w:r>
              <w:rPr>
                <w:i/>
              </w:rPr>
              <w:t>Please describe the storage well used and complete the following information.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Storage well/site description:</w:t>
            </w:r>
          </w:p>
          <w:p>
            <w:r>
              <w:t>Charm has converted the formerly orphaned Basco 6 Class II SWD to a permitted Class V for the purpose of injecting the bio-oil into subsurface geologic formations. The wellbore configuration, depicted here in the wellbore diagram, is completed in the Lower Miocene formation from 3,492-3,534’ KB. The LDENR Order for Class V injection permits the zone from 1,600 to 3,685’ KB. For additional details on the physical characterization of the subsurface features of the well, please refer to Appendix 9: Basco 6 Supplementary Subsurface Characterization.</w:t>
            </w:r>
          </w:p>
          <w:p>
            <w:r/>
          </w:p>
          <w:p>
            <w:r>
              <w:t>Charm will also construct and install surface bio-oil receiving facilities, temporary storage, and an injectate circulation and pump delivery system, all of which will be located largely within the existing boundaries of the existing improved well pad area at the injection well site.</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For details regarding Charm’s well monitoring plan please refer to Appendix 7 of this PDD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Well Class (if applicable): Class V</w:t>
            </w:r>
          </w:p>
          <w:p>
            <w:r>
              <w:t>Permit number: IMD 2025-05 EW</w:t>
            </w:r>
          </w:p>
          <w:p>
            <w:r>
              <w:t>Permitting authority: Louisiana Department of Environment and Natural Resources</w:t>
            </w:r>
          </w:p>
          <w:p>
            <w:r>
              <w:t>Permit validity start date: 8/8/2025</w:t>
            </w:r>
          </w:p>
          <w:p>
            <w:r>
              <w:t>Permit validity end date: 8/7/2030</w:t>
            </w:r>
          </w:p>
          <w:p>
            <w:r>
              <w:t>Well/site storage capacity (total): Estimated range: 465,000 to 840,000 MT</w:t>
            </w:r>
          </w:p>
          <w:p>
            <w:r>
              <w:t>Well/site storage capacity (used): 0</w:t>
            </w:r>
          </w:p>
          <w:p>
            <w:r>
              <w:t>Well/site storage capacity (available): estimated range, 465,000 to 840,000 MT</w:t>
            </w:r>
          </w:p>
        </w:tc>
      </w:tr>
    </w:tbl>
    <w:p/>
    <w:p>
      <w:pPr>
        <w:pStyle w:val="Heading3"/>
      </w:pPr>
      <w:r>
        <w:t>Durability Assessment</w:t>
      </w:r>
    </w:p>
    <w:p>
      <w:pPr/>
      <w:r>
        <w:t>Charm’s durability assessment of Basco 6 is as follows: The Lower Miocene sandstone formation ~3500’ below the Basco 6 wellhead has been characterized and assessed for the performance required to ensure durable storage of injected bio-oil. The primary considerations in assessing durability were the sequestration reservoir thickness and reservoir quality relative to adjacent confining layers, demonstration of wellbore integrity, and lack of offset activity in the sequestration zone in the region. In the course of this assessment Charm determined that the pressure required to pump bio-oil into the formation would be consistent with a typical injection formation (normally pressured or below) without exceeding maximum allowable injection pressure, and that the formation brine density is sufficiently lower than that of bio-oil. This ensures that Charm can pump bio-oil under the regulatory requirements and that upon entry into the formation, the bio-oil will sink as predicted. In addition, Charm performed a mechanical integrity test to ensure casing integrity and performed an advanced cement analysis to ensure hydraulic seal from the formation and the wellbore. The wellbore is proven to be in good mechanical condition and the formation is of sufficient injectivity and storage size. Given the above, we are confident in our assessment that the Lower Miocene zone penetrated by the Basco 6 EW  possesses the characteristics required for bio-oil storage on a 1000+ year timeline. In addition, measures taken to monitor the durable storage of bio-oil are detailed in the Permanence Monitoring and Permit Compliance Plan in Appendix 6</w:t>
      </w:r>
    </w:p>
    <w:p>
      <w:pPr>
        <w:pStyle w:val="IntenseQuote"/>
      </w:pPr>
      <w:r>
        <w:t>Supplementary subsurface characterization (Appendix 10 of the source PDD):</w:t>
      </w:r>
    </w:p>
    <w:p>
      <w:pPr/>
      <w:r>
        <w:t>Basco 6 EW</w:t>
      </w:r>
    </w:p>
    <w:p>
      <w:pPr>
        <w:pStyle w:val="Heading3"/>
      </w:pPr>
      <w:r>
        <w:t>Confining layer(s) characterization</w:t>
      </w:r>
    </w:p>
    <w:p>
      <w:r>
        <w:t>The perforated Miocene sands are underlain and overlain by thick marine mudstones and intraformational shales that provide low-transmissivity barriers. Log character (GR/spectral GR and density-neutron) indicates laterally continuous shale packages bracketing each sand lobe; these, together with multiple intra-sand baffles, hydraulically isolate the injection interval from the lowest USDW (~1,170’ MD). No free gas saturation is indicated on cased-hole logs, and baseline gases are trace-level only, consistent with aqueous solution gas rather than mobile gas.</w:t>
      </w:r>
    </w:p>
    <w:p>
      <w:pPr>
        <w:pStyle w:val="Heading3"/>
      </w:pPr>
      <w:r>
        <w:t>Faults and transmissivity</w:t>
      </w:r>
    </w:p>
    <w:p>
      <w:r>
        <w:t>There is no mapped faulting at the well or immediate lease based on available well control; however, seismic control was not licensed. Regionally, Louisiana’s onshore growth-fault trends are best developed toward the coast (e.g., Baton Rouge–Denham Springs–Scotlandville system) and are associated with Miocene–Pliocene strata at ~1,200–2,000 ft in the Baton Rouge aquifer system; inland “central Louisiana” occurrences such as at the Basco 6 EW location are fewer and smaller in throw than coastal growth faults [3, 4]. In the absence of site seismic, we assume no transmissive fault intersecting the interval. Given bio-oil’s density and limited mobility, leakage through a fault system is unlikely.</w:t>
      </w:r>
    </w:p>
    <w:p>
      <w:pPr>
        <w:pStyle w:val="Heading3"/>
      </w:pPr>
      <w:r>
        <w:t>Pressure margin / MASIP</w:t>
      </w:r>
    </w:p>
    <w:p>
      <w:r>
        <w:t>The Maximum Authorized Surface Injection Pressure (MASIP) is set by the regulator as a function of depth and formation fracture resistance to protect USDWs. In Louisiana (Class V primacy), IMD/Office of Conservation establishes MASIP using formulas or fracture-gradient/step-rate testing; if a recompletion moves the interval shallower, a new MASIP is issued for that depth [5]. Our operations remain well below MASIP, providing a safety margin to avoid fracture initiation or propagation of the confining units.</w:t>
      </w:r>
    </w:p>
    <w:p>
      <w:r>
        <w:t>The Basco 6 SWD’s currently perforated interval (black bars, far left) within the Miocene Formation, likely isolated from one another. The carbon:oxygen response, “sigma”, and spectral gamma ray values (blue, green and red colorfill) will inform the presence of bio-oil post-injection.</w:t>
      </w:r>
    </w:p>
    <w:p>
      <w:pPr>
        <w:pStyle w:val="Heading3"/>
      </w:pPr>
      <w:r>
        <w:t>Dissolved Inorganic Carbon (DIC) and Baseline Geochemistry</w:t>
      </w:r>
    </w:p>
    <w:p>
      <w:r>
        <w:t>Formation water chemistry provides a quantitative basis for DIC concentrations in the Basco 6 SWD reservoir interval (see table below). Alkalinity and bicarbonate were measured at 502 mg/L as HCO₃⁻, with carbonate below detection (&lt; 2 mg/L) and pH at 7.7. At this pH, the carbonate system is dominated by bicarbonate. Converting the bicarbonate concentration to a carbon-equivalent yields a DIC concentration of approximately 100 mg/L as C.</w:t>
      </w:r>
    </w:p>
    <w:p>
      <w:r>
        <w:t>Complementing this, isotopic analysis of dissolved inorganic carbon reported δ¹³C of DIC = +5.4‰ (VPDB). Together, these results establish both concentration and isotopic baseline conditions for dissolved inorganic carbon in the formation fluid.</w:t>
      </w:r>
    </w:p>
    <w:p>
      <w:r>
        <w:t>Baseline hydrocarbon gas composition was also determined by ASTM D1946 analysis of downhole gas samples, with methane ranging from 0.045–1.2% v/v, carbon dioxide at ~0.06–0.08% v/v, and nitrogen and oxygen/argon comprising the balance. These data provide a quantitative hydrocarbon baseline for the reservoir environment and reflect trace amounts of hydrocarbon saturation. Cased hole logging (pulsed neutron) showed no significant gas saturation, consistent with these results. The concentrations are too low to indicate mobile or volumetrically meaningful hydrocarbons in the pore system.</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Matrix</w:t>
            </w:r>
          </w:p>
        </w:tc>
        <w:tc>
          <w:tcPr>
            <w:tcW w:type="dxa" w:w="1728"/>
          </w:tcPr>
          <w:p>
            <w:r>
              <w:rPr>
                <w:b/>
              </w:rPr>
              <w:t>Parameter</w:t>
            </w:r>
          </w:p>
        </w:tc>
        <w:tc>
          <w:tcPr>
            <w:tcW w:type="dxa" w:w="1728"/>
          </w:tcPr>
          <w:p>
            <w:r>
              <w:rPr>
                <w:b/>
              </w:rPr>
              <w:t>Result / Range</w:t>
            </w:r>
          </w:p>
        </w:tc>
        <w:tc>
          <w:tcPr>
            <w:tcW w:type="dxa" w:w="1728"/>
          </w:tcPr>
          <w:p>
            <w:r>
              <w:rPr>
                <w:b/>
              </w:rPr>
              <w:t>Units</w:t>
            </w:r>
          </w:p>
        </w:tc>
        <w:tc>
          <w:tcPr>
            <w:tcW w:type="dxa" w:w="1728"/>
          </w:tcPr>
          <w:p>
            <w:r>
              <w:rPr>
                <w:b/>
              </w:rPr>
              <w:t>Method</w:t>
            </w:r>
          </w:p>
        </w:tc>
      </w:tr>
      <w:tr>
        <w:tc>
          <w:tcPr>
            <w:tcW w:type="dxa" w:w="1728"/>
          </w:tcPr>
          <w:p>
            <w:r>
              <w:t>Formation fluid</w:t>
            </w:r>
          </w:p>
        </w:tc>
        <w:tc>
          <w:tcPr>
            <w:tcW w:type="dxa" w:w="1728"/>
          </w:tcPr>
          <w:p>
            <w:r>
              <w:t>Bicarbonate (HCO₃⁻)</w:t>
            </w:r>
          </w:p>
        </w:tc>
        <w:tc>
          <w:tcPr>
            <w:tcW w:type="dxa" w:w="1728"/>
          </w:tcPr>
          <w:p>
            <w:r>
              <w:t>502</w:t>
            </w:r>
          </w:p>
        </w:tc>
        <w:tc>
          <w:tcPr>
            <w:tcW w:type="dxa" w:w="1728"/>
          </w:tcPr>
          <w:p>
            <w:r>
              <w:t>mg/L</w:t>
            </w:r>
          </w:p>
        </w:tc>
        <w:tc>
          <w:tcPr>
            <w:tcW w:type="dxa" w:w="1728"/>
          </w:tcPr>
          <w:p>
            <w:r>
              <w:t>EPA 2320B-2011</w:t>
            </w:r>
          </w:p>
        </w:tc>
      </w:tr>
      <w:tr>
        <w:tc>
          <w:tcPr>
            <w:tcW w:type="dxa" w:w="1728"/>
          </w:tcPr>
          <w:p>
            <w:r>
              <w:t>Formation fluid</w:t>
            </w:r>
          </w:p>
        </w:tc>
        <w:tc>
          <w:tcPr>
            <w:tcW w:type="dxa" w:w="1728"/>
          </w:tcPr>
          <w:p>
            <w:r>
              <w:t>Carbonate (CO₃²⁻)</w:t>
            </w:r>
          </w:p>
        </w:tc>
        <w:tc>
          <w:tcPr>
            <w:tcW w:type="dxa" w:w="1728"/>
          </w:tcPr>
          <w:p>
            <w:r>
              <w:t>&lt; 2</w:t>
            </w:r>
          </w:p>
        </w:tc>
        <w:tc>
          <w:tcPr>
            <w:tcW w:type="dxa" w:w="1728"/>
          </w:tcPr>
          <w:p>
            <w:r>
              <w:t>mg/L</w:t>
            </w:r>
          </w:p>
        </w:tc>
        <w:tc>
          <w:tcPr>
            <w:tcW w:type="dxa" w:w="1728"/>
          </w:tcPr>
          <w:p>
            <w:r>
              <w:t>EPA 2320B-2011</w:t>
            </w:r>
          </w:p>
        </w:tc>
      </w:tr>
      <w:tr>
        <w:tc>
          <w:tcPr>
            <w:tcW w:type="dxa" w:w="1728"/>
          </w:tcPr>
          <w:p>
            <w:r>
              <w:t>Formation fluid</w:t>
            </w:r>
          </w:p>
        </w:tc>
        <w:tc>
          <w:tcPr>
            <w:tcW w:type="dxa" w:w="1728"/>
          </w:tcPr>
          <w:p>
            <w:r>
              <w:t>Alkalinity (as CaCO₃)</w:t>
            </w:r>
          </w:p>
        </w:tc>
        <w:tc>
          <w:tcPr>
            <w:tcW w:type="dxa" w:w="1728"/>
          </w:tcPr>
          <w:p>
            <w:r>
              <w:t>502</w:t>
            </w:r>
          </w:p>
        </w:tc>
        <w:tc>
          <w:tcPr>
            <w:tcW w:type="dxa" w:w="1728"/>
          </w:tcPr>
          <w:p>
            <w:r>
              <w:t>mg/L</w:t>
            </w:r>
          </w:p>
        </w:tc>
        <w:tc>
          <w:tcPr>
            <w:tcW w:type="dxa" w:w="1728"/>
          </w:tcPr>
          <w:p>
            <w:r>
              <w:t>EPA 2320B-2011</w:t>
            </w:r>
          </w:p>
        </w:tc>
      </w:tr>
      <w:tr>
        <w:tc>
          <w:tcPr>
            <w:tcW w:type="dxa" w:w="1728"/>
          </w:tcPr>
          <w:p>
            <w:r>
              <w:t>Formation fluid</w:t>
            </w:r>
          </w:p>
        </w:tc>
        <w:tc>
          <w:tcPr>
            <w:tcW w:type="dxa" w:w="1728"/>
          </w:tcPr>
          <w:p>
            <w:r>
              <w:t>pH</w:t>
            </w:r>
          </w:p>
        </w:tc>
        <w:tc>
          <w:tcPr>
            <w:tcW w:type="dxa" w:w="1728"/>
          </w:tcPr>
          <w:p>
            <w:r>
              <w:t>7.7</w:t>
            </w:r>
          </w:p>
        </w:tc>
        <w:tc>
          <w:tcPr>
            <w:tcW w:type="dxa" w:w="1728"/>
          </w:tcPr>
          <w:p>
            <w:r>
              <w:t>s.u.</w:t>
            </w:r>
          </w:p>
        </w:tc>
        <w:tc>
          <w:tcPr>
            <w:tcW w:type="dxa" w:w="1728"/>
          </w:tcPr>
          <w:p>
            <w:r>
              <w:t>EPA 4500H+B</w:t>
            </w:r>
          </w:p>
        </w:tc>
      </w:tr>
      <w:tr>
        <w:tc>
          <w:tcPr>
            <w:tcW w:type="dxa" w:w="1728"/>
          </w:tcPr>
          <w:p>
            <w:r>
              <w:t>Formation fluid</w:t>
            </w:r>
          </w:p>
        </w:tc>
        <w:tc>
          <w:tcPr>
            <w:tcW w:type="dxa" w:w="1728"/>
          </w:tcPr>
          <w:p>
            <w:r>
              <w:t>DIC (as C, inferred)</w:t>
            </w:r>
          </w:p>
        </w:tc>
        <w:tc>
          <w:tcPr>
            <w:tcW w:type="dxa" w:w="1728"/>
          </w:tcPr>
          <w:p>
            <w:r>
              <w:t>~100</w:t>
            </w:r>
          </w:p>
        </w:tc>
        <w:tc>
          <w:tcPr>
            <w:tcW w:type="dxa" w:w="1728"/>
          </w:tcPr>
          <w:p>
            <w:r>
              <w:t>mg/L</w:t>
            </w:r>
          </w:p>
        </w:tc>
        <w:tc>
          <w:tcPr>
            <w:tcW w:type="dxa" w:w="1728"/>
          </w:tcPr>
          <w:p>
            <w:r>
              <w:t>Calculated from HCO₃⁻</w:t>
            </w:r>
          </w:p>
        </w:tc>
      </w:tr>
      <w:tr>
        <w:tc>
          <w:tcPr>
            <w:tcW w:type="dxa" w:w="1728"/>
          </w:tcPr>
          <w:p>
            <w:r>
              <w:t>Formation fluid</w:t>
            </w:r>
          </w:p>
        </w:tc>
        <w:tc>
          <w:tcPr>
            <w:tcW w:type="dxa" w:w="1728"/>
          </w:tcPr>
          <w:p>
            <w:r>
              <w:t>δ¹³C of DIC</w:t>
            </w:r>
          </w:p>
        </w:tc>
        <w:tc>
          <w:tcPr>
            <w:tcW w:type="dxa" w:w="1728"/>
          </w:tcPr>
          <w:p>
            <w:r>
              <w:t>+5.4</w:t>
            </w:r>
          </w:p>
        </w:tc>
        <w:tc>
          <w:tcPr>
            <w:tcW w:type="dxa" w:w="1728"/>
          </w:tcPr>
          <w:p>
            <w:r>
              <w:t>‰ VPDB</w:t>
            </w:r>
          </w:p>
        </w:tc>
        <w:tc>
          <w:tcPr>
            <w:tcW w:type="dxa" w:w="1728"/>
          </w:tcPr>
          <w:p>
            <w:r>
              <w:t>Isotech Lab (2024)</w:t>
            </w:r>
          </w:p>
        </w:tc>
      </w:tr>
      <w:tr>
        <w:tc>
          <w:tcPr>
            <w:tcW w:type="dxa" w:w="1728"/>
          </w:tcPr>
          <w:p>
            <w:r>
              <w:t>Formation fluid</w:t>
            </w:r>
          </w:p>
        </w:tc>
        <w:tc>
          <w:tcPr>
            <w:tcW w:type="dxa" w:w="1728"/>
          </w:tcPr>
          <w:p>
            <w:r>
              <w:t>δD of water</w:t>
            </w:r>
          </w:p>
        </w:tc>
        <w:tc>
          <w:tcPr>
            <w:tcW w:type="dxa" w:w="1728"/>
          </w:tcPr>
          <w:p>
            <w:r>
              <w:t>-16.4</w:t>
            </w:r>
          </w:p>
        </w:tc>
        <w:tc>
          <w:tcPr>
            <w:tcW w:type="dxa" w:w="1728"/>
          </w:tcPr>
          <w:p>
            <w:r>
              <w:t>‰ VSMOW</w:t>
            </w:r>
          </w:p>
        </w:tc>
        <w:tc>
          <w:tcPr>
            <w:tcW w:type="dxa" w:w="1728"/>
          </w:tcPr>
          <w:p>
            <w:r>
              <w:t>Isotech Lab (2024)</w:t>
            </w:r>
          </w:p>
        </w:tc>
      </w:tr>
      <w:tr>
        <w:tc>
          <w:tcPr>
            <w:tcW w:type="dxa" w:w="1728"/>
          </w:tcPr>
          <w:p>
            <w:r>
              <w:t>Formation fluid</w:t>
            </w:r>
          </w:p>
        </w:tc>
        <w:tc>
          <w:tcPr>
            <w:tcW w:type="dxa" w:w="1728"/>
          </w:tcPr>
          <w:p>
            <w:r>
              <w:t>δ¹⁸O of water</w:t>
            </w:r>
          </w:p>
        </w:tc>
        <w:tc>
          <w:tcPr>
            <w:tcW w:type="dxa" w:w="1728"/>
          </w:tcPr>
          <w:p>
            <w:r>
              <w:t>+9.78</w:t>
            </w:r>
          </w:p>
        </w:tc>
        <w:tc>
          <w:tcPr>
            <w:tcW w:type="dxa" w:w="1728"/>
          </w:tcPr>
          <w:p>
            <w:r>
              <w:t>‰ VSMOW</w:t>
            </w:r>
          </w:p>
        </w:tc>
        <w:tc>
          <w:tcPr>
            <w:tcW w:type="dxa" w:w="1728"/>
          </w:tcPr>
          <w:p>
            <w:r>
              <w:t>Isotech Lab (2024)</w:t>
            </w:r>
          </w:p>
        </w:tc>
      </w:tr>
      <w:tr>
        <w:tc>
          <w:tcPr>
            <w:tcW w:type="dxa" w:w="1728"/>
          </w:tcPr>
          <w:p>
            <w:r>
              <w:t>Gas produced from wellbore</w:t>
            </w:r>
          </w:p>
        </w:tc>
        <w:tc>
          <w:tcPr>
            <w:tcW w:type="dxa" w:w="1728"/>
          </w:tcPr>
          <w:p>
            <w:r>
              <w:t>Methane (CH₄)</w:t>
            </w:r>
          </w:p>
        </w:tc>
        <w:tc>
          <w:tcPr>
            <w:tcW w:type="dxa" w:w="1728"/>
          </w:tcPr>
          <w:p>
            <w:r>
              <w:t>0.045 – 1.2</w:t>
            </w:r>
          </w:p>
        </w:tc>
        <w:tc>
          <w:tcPr>
            <w:tcW w:type="dxa" w:w="1728"/>
          </w:tcPr>
          <w:p>
            <w:r>
              <w:t>% v/v</w:t>
            </w:r>
          </w:p>
        </w:tc>
        <w:tc>
          <w:tcPr>
            <w:tcW w:type="dxa" w:w="1728"/>
          </w:tcPr>
          <w:p>
            <w:r>
              <w:t>ASTM D1946</w:t>
            </w:r>
          </w:p>
        </w:tc>
      </w:tr>
      <w:tr>
        <w:tc>
          <w:tcPr>
            <w:tcW w:type="dxa" w:w="1728"/>
          </w:tcPr>
          <w:p>
            <w:r>
              <w:t>Gas produced from wellbore</w:t>
            </w:r>
          </w:p>
        </w:tc>
        <w:tc>
          <w:tcPr>
            <w:tcW w:type="dxa" w:w="1728"/>
          </w:tcPr>
          <w:p>
            <w:r>
              <w:t>Carbon Dioxide (CO₂)</w:t>
            </w:r>
          </w:p>
        </w:tc>
        <w:tc>
          <w:tcPr>
            <w:tcW w:type="dxa" w:w="1728"/>
          </w:tcPr>
          <w:p>
            <w:r>
              <w:t>0.061 – 0.083</w:t>
            </w:r>
          </w:p>
        </w:tc>
        <w:tc>
          <w:tcPr>
            <w:tcW w:type="dxa" w:w="1728"/>
          </w:tcPr>
          <w:p>
            <w:r>
              <w:t>% v/v</w:t>
            </w:r>
          </w:p>
        </w:tc>
        <w:tc>
          <w:tcPr>
            <w:tcW w:type="dxa" w:w="1728"/>
          </w:tcPr>
          <w:p>
            <w:r>
              <w:t>ASTM D1946</w:t>
            </w:r>
          </w:p>
        </w:tc>
      </w:tr>
      <w:tr>
        <w:tc>
          <w:tcPr>
            <w:tcW w:type="dxa" w:w="1728"/>
          </w:tcPr>
          <w:p>
            <w:r>
              <w:t>Gas produced from wellbore</w:t>
            </w:r>
          </w:p>
        </w:tc>
        <w:tc>
          <w:tcPr>
            <w:tcW w:type="dxa" w:w="1728"/>
          </w:tcPr>
          <w:p>
            <w:r>
              <w:t>Nitrogen (N₂)</w:t>
            </w:r>
          </w:p>
        </w:tc>
        <w:tc>
          <w:tcPr>
            <w:tcW w:type="dxa" w:w="1728"/>
          </w:tcPr>
          <w:p>
            <w:r>
              <w:t>77 – 78</w:t>
            </w:r>
          </w:p>
        </w:tc>
        <w:tc>
          <w:tcPr>
            <w:tcW w:type="dxa" w:w="1728"/>
          </w:tcPr>
          <w:p>
            <w:r>
              <w:t>% v/v</w:t>
            </w:r>
          </w:p>
        </w:tc>
        <w:tc>
          <w:tcPr>
            <w:tcW w:type="dxa" w:w="1728"/>
          </w:tcPr>
          <w:p>
            <w:r>
              <w:t>ASTM D1946</w:t>
            </w:r>
          </w:p>
        </w:tc>
      </w:tr>
      <w:tr>
        <w:tc>
          <w:tcPr>
            <w:tcW w:type="dxa" w:w="1728"/>
          </w:tcPr>
          <w:p>
            <w:r>
              <w:t>Gas produced from wellbore</w:t>
            </w:r>
          </w:p>
        </w:tc>
        <w:tc>
          <w:tcPr>
            <w:tcW w:type="dxa" w:w="1728"/>
          </w:tcPr>
          <w:p>
            <w:r>
              <w:t>Oxygen/Argon (O₂/Ar)</w:t>
            </w:r>
          </w:p>
        </w:tc>
        <w:tc>
          <w:tcPr>
            <w:tcW w:type="dxa" w:w="1728"/>
          </w:tcPr>
          <w:p>
            <w:r>
              <w:t>20 – 22</w:t>
            </w:r>
          </w:p>
        </w:tc>
        <w:tc>
          <w:tcPr>
            <w:tcW w:type="dxa" w:w="1728"/>
          </w:tcPr>
          <w:p>
            <w:r>
              <w:t>% v/v</w:t>
            </w:r>
          </w:p>
        </w:tc>
        <w:tc>
          <w:tcPr>
            <w:tcW w:type="dxa" w:w="1728"/>
          </w:tcPr>
          <w:p>
            <w:r>
              <w:t>ASTM D1946</w:t>
            </w:r>
          </w:p>
        </w:tc>
      </w:tr>
    </w:tbl>
    <w:p/>
    <w:p>
      <w:pPr>
        <w:pStyle w:val="Heading3"/>
      </w:pPr>
      <w:r>
        <w:t>Attachments</w:t>
      </w:r>
    </w:p>
    <w:p>
      <w:pPr>
        <w:pStyle w:val="ListBullet"/>
      </w:pPr>
      <w:r>
        <w:t>Halliburton Wireline Services, cased hole logging reservoir evaluation (link)</w:t>
      </w:r>
    </w:p>
    <w:p>
      <w:pPr>
        <w:pStyle w:val="ListBullet"/>
      </w:pPr>
      <w:r>
        <w:t>Stratum Reservoir (Isotech), formation fluid (solids) isotopes (link)</w:t>
      </w:r>
    </w:p>
    <w:p>
      <w:pPr>
        <w:pStyle w:val="ListBullet"/>
      </w:pPr>
      <w:r>
        <w:t>Stratum Reservoir (Isotech), formation fluid isotopes (link)</w:t>
      </w:r>
    </w:p>
    <w:p>
      <w:pPr>
        <w:pStyle w:val="ListBullet"/>
      </w:pPr>
      <w:r>
        <w:t>Green Analytical Laboratories, formation fluid DOC (link)</w:t>
      </w:r>
    </w:p>
    <w:p>
      <w:pPr>
        <w:pStyle w:val="ListBullet"/>
      </w:pPr>
      <w:r>
        <w:t>Air Technology Laboratories, gas sample analysis (link)</w:t>
      </w:r>
    </w:p>
    <w:p>
      <w:pPr>
        <w:pStyle w:val="Heading3"/>
      </w:pPr>
      <w:r>
        <w:t>References</w:t>
      </w:r>
    </w:p>
    <w:p>
      <w:pPr>
        <w:pStyle w:val="ListBullet"/>
      </w:pPr>
      <w:r>
        <w:t>Zulqarnain, M. et al. (2023) ‘GCS site selection in Saline Miocene formations in south Louisiana’, International Journal of Greenhouse Gas Control, 122, p. 103818. doi:10.1016/j.ijggc.2022.103818.</w:t>
      </w:r>
    </w:p>
    <w:p>
      <w:pPr>
        <w:pStyle w:val="ListBullet"/>
      </w:pPr>
      <w:r>
        <w:t>S. P. Dutton, R. G. Loucks, and R. J. Day-Stirrat, “Impact of regional variation in detrital mineral composition on reservoir quality in deep to Ultradeep Lower Miocene sandstones, Western Gulf of Mexico,” Marine and Petroleum Geology, vol. 35, no. 1, pp. 139–153, Aug. 2012. doi:10.1016/j.marpetgeo.2012.01.006</w:t>
      </w:r>
    </w:p>
    <w:p>
      <w:pPr>
        <w:pStyle w:val="ListBullet"/>
      </w:pPr>
      <w:r>
        <w:t>Tsai, F.T.-C., &amp; Li, X. (2013). Groundwater modeling with geological uncertainty from fault and aquifer architecture in the Baton Rouge area, Louisiana (USA). Hydrogeology Journal, 21, 959–972. doi:10.1007/s10040-013-1037-5.</w:t>
      </w:r>
    </w:p>
    <w:p>
      <w:pPr>
        <w:pStyle w:val="ListBullet"/>
      </w:pPr>
      <w:r>
        <w:t>Louisiana Geological Survey. (2008). The Scotlandville, Denham Springs, and Baton Rouge Faults — A Map Guide for Real Estate Buyers, Sellers, and Developers in the Greater Baton Rouge Area. Public Information Series No. 8. Louisiana State University, Baton Rouge, LA. Available at: https://www.lsu.edu/lgs/publications/products/Free_publications/BR-Faults-Guide-2008.pdf (Accessed: 21 September 2025).</w:t>
      </w:r>
    </w:p>
    <w:p>
      <w:pPr>
        <w:pStyle w:val="ListBullet"/>
      </w:pPr>
      <w:r>
        <w:t>U.S. Environmental Protection Agency &amp; Ground Water Protection Council (2024). Class II UIC Program: Technical and Regulatory Practices. Final Webinar Slides, November 2024. Available at: https://www.gwpc.org/wp-content/uploads/2024/11/Final-Slides-Class-II-UIC-Webinar.pdf (Accessed: 21 September 2025).</w:t>
      </w:r>
    </w:p>
    <w:p>
      <w:pPr>
        <w:pStyle w:val="Heading2"/>
      </w:pPr>
      <w:r>
        <w:t>3. Site Permanence Monitoring and Permit Compliance Plan</w:t>
      </w:r>
    </w:p>
    <w:p>
      <w:pPr>
        <w:pStyle w:val="IntenseQuote"/>
      </w:pPr>
      <w:r>
        <w:t>Source: Appendix 8 – Basco 6 EW Bio-oil Sequestration Site Permanence Monitoring and Permit Compliance Plan (verbatim)</w:t>
      </w:r>
    </w:p>
    <w:p>
      <w:pPr>
        <w:pStyle w:val="Heading3"/>
      </w:pPr>
      <w:r>
        <w:t>Monitoring Plan</w:t>
      </w:r>
    </w:p>
    <w:p>
      <w:pPr/>
      <w:r>
        <w:t>Injection (Charm) For details regarding emissions monitoring at Charm’s Basco 6 well site, please see the Combined Emission Monitoring and Accounting Plan in the Basco 6 supplemental doc For well integrity and permanence monitoring details  please see Appendix 6</w:t>
      </w:r>
    </w:p>
    <w:p>
      <w:pPr/>
      <w:r>
        <w:t>Uncertainty for Basco 6 Louisiana Injection Operations Sensitivity analysis and uncertainty modifications for Basco 6 Louisiana injection operations are included in the Sensitivity Analysis and Comprehensive Emissions Monitoring and Accounting Plan sections of the Basco 6 Supplemental Doc included as Supplemental Doc 3 of this PDD</w:t>
      </w:r>
    </w:p>
    <w:p>
      <w:r>
        <w:t>The Basco 6 EW is a former saltwater disposal well located in Evangeline Parish, Louisiana. It was drilled in 2011, and while active, injected nearly 20,000 bbls of produced water before transitioning to orphan well status in 2016. Charm gained permission to test the well’s integrity in February 2024, and finding the well in suitable condition, requested liability from the State of Louisiana to repurpose the well for permanent sequestration of bio-oil.</w:t>
      </w:r>
    </w:p>
    <w:p>
      <w:r>
        <w:t>The data acquisition and monitoring plan framed below highlights how Charm will fulfill Isometric’s Bio-oil Storage in Permeable Reservoirs (“Protocol”) module with a single injection asset (“Well”) in addition to those anticipated from a Class V UIC permit issued by the Louisiana Department of Energy and Natural Resources (“LDENR”).</w:t>
      </w:r>
    </w:p>
    <w:p>
      <w:r>
        <w:t>The following deviations from the Protocol are required on account of the project design; see discussion below for alternative methods, where applicable:</w:t>
      </w:r>
    </w:p>
    <w:p>
      <w:r>
        <w:t>While the Protocol accommodates the presence of a monitoring well, the Basco 6 EW project consists only of a single Well for injection. As a result, formation fluid analytes (i.e., pH, density, anions/cations, etc.) will not be available after bio-oil injection operations commence, as doing so would jeopardize previously sequestered bio-oil. Bio-oil density will be referenced relative to that of the in-situ formation fluid at baseline conditions. In addition, formation fluid will not be available for corrosion monitoring purposes. See Section 3.1.1 and Section 3.2.</w:t>
      </w:r>
    </w:p>
    <w:p>
      <w:r>
        <w:t>Bio-oil analytes at each injection batch will not include isotopes or geochemical characterization (“fingerprint”) of bio-oil compounds unless mandated by LDENR, as referenced in Section 3.1.1. This data is both time and cost prohibitive to conduct routinely, and does not inform project permanence.</w:t>
      </w:r>
    </w:p>
    <w:p>
      <w:r>
        <w:t>Corrosion monitoring as described in Section 3.1.2 will be continuously monitored by tubing and annulus pressure, with visual inspection performed on tubing and/or packer only if and when the tubing and/or packer is run out of the hole for maintenance. Pulling the equipment from the well for the purpose of visually monitoring this equipment every 6 months unnecessarily jeopardizes the well’s completion and the equipment’s condition. It is also time and cost prohibitive, requiring LDENR approval before the work is scheduled with an on site MIPT to be witnessed by LDENR staff upon completion of the work.</w:t>
      </w:r>
    </w:p>
    <w:p>
      <w:r>
        <w:t>Charm continues to explore and mature material compatibility testing with a wide range of steel alloys and bio-oils to inform longevity of J-55 and other well-specific materials.</w:t>
      </w:r>
    </w:p>
    <w:p>
      <w:r>
        <w:t>Direct measurement of bio-oil migration as described in Section 3.1.3 is not possible without use of a monitoring well(s). Plume development will be inferred from the Warner-Lehr model, but is not expected to be required by LDENR. Vertical migration will be monitored annually via radioactive tracer survey.</w:t>
      </w:r>
    </w:p>
    <w:p>
      <w:r>
        <w:t>Groundwater monitoring as described in Section 3.1.3 is not anticipated to be required by LDENR.</w:t>
      </w:r>
    </w:p>
    <w:p>
      <w:r>
        <w:t>Continuous inline gas detectors equipped with sensors for GHG and VOCs specified in the Protocol (Section 3.1.3) are prohibitively expensive for incorporating into Charm’s project. The unlikely occurrence of gas to surface will be monitored as described below:</w:t>
      </w:r>
    </w:p>
    <w:p>
      <w:r>
        <w:t>Continuous annulus pressure monitoring will detect any subsurface tubing or casing leakage. In the event of an unexplained annulus pressure reading, gas detection sensors and/or cameras will be used to determine the presence of any gas leakage and corrective action applied where root cause analysis justifies.</w:t>
      </w:r>
    </w:p>
    <w:p>
      <w:r>
        <w:t>Every six months, a wellhead gas measurement will be conducted and compared with baseline readings as described in the Protocol.</w:t>
      </w:r>
    </w:p>
    <w:p>
      <w:r>
        <w:t>Annual mechanical integrity testing will confirm that the well construction materials are sound as described in the Protocol.</w:t>
      </w:r>
    </w:p>
    <w:p>
      <w:r>
        <w:t>A seismic monitoring program as described in Section 3.1.3 is not expected to be required by LDENR.</w:t>
      </w:r>
    </w:p>
    <w:p>
      <w:r>
        <w:t>Charm’s understanding of bio-oil compatibility has been enhanced by external research which identified calcium as a common reservoir mineral most sensitive to bio-oil; work is underway to extend this research to the Lower Miocene formation sampled from the Basco 6 EW well. In addition, we are leveraging this learning in our candidate selection process as a primary means of mitigating, if not eliminating, bio-oil reactivity. Monitoring for potential reactivity will be inferred from continuously recorded surface pressure and injectivity trends. Periodic falloff tests will also inform reservoir quality changes resulting from either aging (e.g., increased “skin effect”) or reactivity (decreasing “skin effect”). Even in the event of stimulation-scale dissolution within the wellbore, a wellbore maintained to regulatory standards will not generate leakage.</w:t>
      </w:r>
    </w:p>
    <w:p>
      <w:pPr>
        <w:pStyle w:val="Heading3"/>
      </w:pPr>
      <w:r>
        <w:t>Permitting</w:t>
      </w:r>
    </w:p>
    <w:p>
      <w:r>
        <w:t>The LDENR-issued Class V UIC permit for the Charm LA, LLC-operated asset Basco 6 EW (S/N 974025), located in Evangeline Parish, Louisiana, has been in force for over a year (Order No. IMD 2025-05 EW).</w:t>
      </w:r>
    </w:p>
    <w:p>
      <w:pPr>
        <w:pStyle w:val="Heading3"/>
      </w:pPr>
      <w:r>
        <w:t>Site Characterization and Feasibility Requirements</w:t>
      </w:r>
    </w:p>
    <w:p>
      <w:r>
        <w:t>The UIC permit application did not require demonstration of the geologic system for bio-oil sequestration, as the well was historically approved for salt water disposal operations.</w:t>
      </w:r>
    </w:p>
    <w:tbl>
      <w:tblPr>
        <w:tblStyle w:val="Table92"/>
        <w:tblW w:w="8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34"/>
        <w:gridCol w:w="4306"/>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A">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Parameter</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B">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C">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Reservoir lithology and mineralogy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D">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Lower Miocene formation is an unconsolidated sandstone, consisting primarily of quartz as indicated by </w:t>
            </w:r>
            <w:hyperlink r:id="rId9">
              <w:r w:rsidDel="00000000" w:rsidR="00000000" w:rsidRPr="00000000">
                <w:rPr>
                  <w:rFonts w:ascii="Arial" w:cs="Arial" w:eastAsia="Arial" w:hAnsi="Arial"/>
                  <w:color w:val="1155cc"/>
                  <w:sz w:val="20"/>
                  <w:szCs w:val="20"/>
                  <w:u w:val="single"/>
                  <w:rtl w:val="0"/>
                </w:rPr>
                <w:t xml:space="preserve">XRD of fill</w:t>
              </w:r>
            </w:hyperlink>
            <w:r w:rsidDel="00000000" w:rsidR="00000000" w:rsidRPr="00000000">
              <w:rPr>
                <w:rFonts w:ascii="Arial" w:cs="Arial" w:eastAsia="Arial" w:hAnsi="Arial"/>
                <w:color w:val="221e1f"/>
                <w:sz w:val="20"/>
                <w:szCs w:val="20"/>
                <w:rtl w:val="0"/>
              </w:rPr>
              <w:t xml:space="preserve"> taken from the below the perforations.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E">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Porosity and permeability of sequestration zone strata</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F">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completed interval ranges from 25-27% effective porosity (as determined from cased hole logs), with an estimated permeability range from 465 mD to &gt; 2D.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0">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Confirmation of low permeability and structural integrity of confining layer/cap rock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1">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previous operator injected 17,700 bbls of brine in this formation, which remained geologically isolated from overlying aquifers by mechanical integrity and numerous geologic seals.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2">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Temperature, pH, conductivity and fluid saturation of storage reservoir formation fluid/brine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3">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properties </w:t>
            </w:r>
            <w:hyperlink r:id="rId10">
              <w:r w:rsidDel="00000000" w:rsidR="00000000" w:rsidRPr="00000000">
                <w:rPr>
                  <w:rFonts w:ascii="Arial" w:cs="Arial" w:eastAsia="Arial" w:hAnsi="Arial"/>
                  <w:color w:val="1155cc"/>
                  <w:sz w:val="20"/>
                  <w:szCs w:val="20"/>
                  <w:u w:val="single"/>
                  <w:rtl w:val="0"/>
                </w:rPr>
                <w:t xml:space="preserve">here</w:t>
              </w:r>
            </w:hyperlink>
            <w:r w:rsidDel="00000000" w:rsidR="00000000" w:rsidRPr="00000000">
              <w:rPr>
                <w:rFonts w:ascii="Arial" w:cs="Arial" w:eastAsia="Arial" w:hAnsi="Arial"/>
                <w:color w:val="221e1f"/>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4">
            <w:pPr>
              <w:widowControl w:val="0"/>
              <w:rPr>
                <w:rFonts w:ascii="Arial" w:cs="Arial" w:eastAsia="Arial" w:hAnsi="Arial"/>
                <w:color w:val="221e1f"/>
                <w:sz w:val="18"/>
                <w:szCs w:val="18"/>
              </w:rPr>
            </w:pPr>
            <w:r w:rsidDel="00000000" w:rsidR="00000000" w:rsidRPr="00000000">
              <w:rPr>
                <w:rFonts w:ascii="Arial" w:cs="Arial" w:eastAsia="Arial" w:hAnsi="Arial"/>
                <w:color w:val="221e1f"/>
                <w:sz w:val="20"/>
                <w:szCs w:val="20"/>
                <w:rtl w:val="0"/>
              </w:rPr>
              <w:t xml:space="preserve">Dissolved gas, including dissolved inorganic carbon (DIC), composition in formation fluids and composition of any tracers being used</w:t>
            </w:r>
            <w:r w:rsidDel="00000000" w:rsidR="00000000" w:rsidRPr="00000000">
              <w:rPr>
                <w:rFonts w:ascii="Arial" w:cs="Arial" w:eastAsia="Arial" w:hAnsi="Arial"/>
                <w:sz w:val="20"/>
                <w:szCs w:val="20"/>
                <w:rtl w:val="0"/>
              </w:rPr>
              <w:t xml:space="preserve"> (e.g., δ </w:t>
            </w:r>
            <w:r w:rsidDel="00000000" w:rsidR="00000000" w:rsidRPr="00000000">
              <w:rPr>
                <w:rFonts w:ascii="Arial" w:cs="Arial" w:eastAsia="Arial" w:hAnsi="Arial"/>
                <w:sz w:val="20"/>
                <w:szCs w:val="20"/>
                <w:vertAlign w:val="superscript"/>
                <w:rtl w:val="0"/>
              </w:rPr>
              <w:t xml:space="preserve">13</w:t>
            </w:r>
            <w:r w:rsidDel="00000000" w:rsidR="00000000" w:rsidRPr="00000000">
              <w:rPr>
                <w:rFonts w:ascii="Arial" w:cs="Arial" w:eastAsia="Arial" w:hAnsi="Arial"/>
                <w:sz w:val="20"/>
                <w:szCs w:val="20"/>
                <w:rtl w:val="0"/>
              </w:rPr>
              <w:t xml:space="preserve">C signature and/or major and minor 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5">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composition </w:t>
            </w:r>
            <w:hyperlink r:id="rId10">
              <w:r w:rsidDel="00000000" w:rsidR="00000000" w:rsidRPr="00000000">
                <w:rPr>
                  <w:rFonts w:ascii="Arial" w:cs="Arial" w:eastAsia="Arial" w:hAnsi="Arial"/>
                  <w:color w:val="1155cc"/>
                  <w:sz w:val="20"/>
                  <w:szCs w:val="20"/>
                  <w:u w:val="single"/>
                  <w:rtl w:val="0"/>
                </w:rPr>
                <w:t xml:space="preserve">here</w:t>
              </w:r>
            </w:hyperlink>
            <w:r w:rsidDel="00000000" w:rsidR="00000000" w:rsidRPr="00000000">
              <w:rPr>
                <w:rFonts w:ascii="Arial" w:cs="Arial" w:eastAsia="Arial" w:hAnsi="Arial"/>
                <w:color w:val="221e1f"/>
                <w:sz w:val="20"/>
                <w:szCs w:val="20"/>
                <w:rtl w:val="0"/>
              </w:rPr>
              <w:t xml:space="preserve">. No tracers being used.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6">
            <w:pPr>
              <w:widowControl w:val="0"/>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stable oxygen δ</w:t>
            </w:r>
            <w:r w:rsidDel="00000000" w:rsidR="00000000" w:rsidRPr="00000000">
              <w:rPr>
                <w:rFonts w:ascii="Arial" w:cs="Arial" w:eastAsia="Arial" w:hAnsi="Arial"/>
                <w:color w:val="221e1f"/>
                <w:sz w:val="20"/>
                <w:szCs w:val="20"/>
                <w:vertAlign w:val="superscript"/>
                <w:rtl w:val="0"/>
              </w:rPr>
              <w:t xml:space="preserve">18</w:t>
            </w:r>
            <w:r w:rsidDel="00000000" w:rsidR="00000000" w:rsidRPr="00000000">
              <w:rPr>
                <w:rFonts w:ascii="Arial" w:cs="Arial" w:eastAsia="Arial" w:hAnsi="Arial"/>
                <w:color w:val="221e1f"/>
                <w:sz w:val="20"/>
                <w:szCs w:val="20"/>
                <w:rtl w:val="0"/>
              </w:rPr>
              <w:t xml:space="preserve">O and hydrogen δD isotope signature, where required in the permit</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7">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Not required by the permit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8">
            <w:pPr>
              <w:rPr>
                <w:rFonts w:ascii="Arial" w:cs="Arial" w:eastAsia="Arial" w:hAnsi="Arial"/>
                <w:color w:val="221e1f"/>
                <w:sz w:val="18"/>
                <w:szCs w:val="18"/>
              </w:rPr>
            </w:pPr>
            <w:r w:rsidDel="00000000" w:rsidR="00000000" w:rsidRPr="00000000">
              <w:rPr>
                <w:rFonts w:ascii="Arial" w:cs="Arial" w:eastAsia="Arial" w:hAnsi="Arial"/>
                <w:sz w:val="20"/>
                <w:szCs w:val="20"/>
                <w:rtl w:val="0"/>
              </w:rPr>
              <w:t xml:space="preserve">δ</w:t>
            </w:r>
            <w:r w:rsidDel="00000000" w:rsidR="00000000" w:rsidRPr="00000000">
              <w:rPr>
                <w:rFonts w:ascii="Arial" w:cs="Arial" w:eastAsia="Arial" w:hAnsi="Arial"/>
                <w:sz w:val="20"/>
                <w:szCs w:val="20"/>
                <w:vertAlign w:val="superscript"/>
                <w:rtl w:val="0"/>
              </w:rPr>
              <w:t xml:space="preserve">13</w:t>
            </w:r>
            <w:r w:rsidDel="00000000" w:rsidR="00000000" w:rsidRPr="00000000">
              <w:rPr>
                <w:rFonts w:ascii="Arial" w:cs="Arial" w:eastAsia="Arial" w:hAnsi="Arial"/>
                <w:sz w:val="20"/>
                <w:szCs w:val="20"/>
                <w:rtl w:val="0"/>
              </w:rPr>
              <w:t xml:space="preserve">C of the compounds of the bio-oil, where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9">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Not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A">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Quantity of hydrocarbons present in the reservoir prior to bio-oil injection</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B">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Trace (residual) hydrocarbons, likely entrained from produced water injection, are present but not recoverable</w:t>
            </w:r>
          </w:p>
        </w:tc>
      </w:tr>
    </w:tbl>
    <w:p/>
    <w:p>
      <w:pPr>
        <w:pStyle w:val="Heading3"/>
      </w:pPr>
      <w:r>
        <w:t>Well construction requirements</w:t>
      </w:r>
    </w:p>
    <w:p>
      <w:r>
        <w:t>All records confirming well integrity have been reviewed and approved by LDENR. Charm will maintain all well records documenting relevant activity on the location.</w:t>
      </w:r>
    </w:p>
    <w:p>
      <w:pPr>
        <w:pStyle w:val="Heading3"/>
      </w:pPr>
      <w:r>
        <w:t>Injection and injectant operation &amp; monitoring</w:t>
      </w:r>
    </w:p>
    <w:p>
      <w:r>
        <w:t>LDENR issued the MASIP at 455 psi. Continuous recording devices will capture flowrate, injection volume, tubing, annulus and bottomhole pressures, and bottomhole temperature for regulatory reporting. Equipment list found in the site Embodied Emissions Inventory submitted with this document.</w:t>
      </w:r>
    </w:p>
    <w:p>
      <w:r>
        <w:t>Operations will be conducted according to any other operational conditions (e.g., flow rate, injectant composition or properties) cited on the approved UIC permit.</w:t>
      </w:r>
    </w:p>
    <w:p>
      <w:r>
        <w:t>Injectant samples will be taken at a frequency mandated by LDENR to confirm pH, density, viscosity, TAN and carbon content and/or as required by the approved UIC permit.</w:t>
      </w:r>
    </w:p>
    <w:p>
      <w:r>
        <w:t>Production batches, representing a change in biomass feedstock or pyrolysis process, will extend the above analysis to include major anions and cations.</w:t>
      </w:r>
    </w:p>
    <w:p>
      <w:r>
        <w:t>Wellhead gas detection will be performed every 6 mos to confirm no gas leakage at surface. Setpoints on the injection pump and flowmeter will trigger equipment alarm and automatic shutoff.</w:t>
      </w:r>
    </w:p>
    <w:p>
      <w:pPr>
        <w:pStyle w:val="Heading3"/>
      </w:pPr>
      <w:r>
        <w:t>System Integrity Monitoring</w:t>
      </w:r>
    </w:p>
    <w:p>
      <w:r>
        <w:t>Corrosion monitoring will be performed at a 6 month frequency. Witnessed mechanical integrity tests will be conducted annually per LDENR. A pressure falloff test will be performed annually.</w:t>
      </w:r>
    </w:p>
    <w:p>
      <w:pPr>
        <w:pStyle w:val="Heading3"/>
      </w:pPr>
      <w:r>
        <w:t>Migration and Storage Reversal Monitoring</w:t>
      </w:r>
    </w:p>
    <w:p>
      <w:r>
        <w:t>Charm does not operate an offset well in the immediate vicinity of the Basco 6 EW. As a result, Charm will estimate the radius of the pressure front throughout operations.</w:t>
      </w:r>
    </w:p>
    <w:p>
      <w:r>
        <w:t>Charm will conduct grab samples of injectant as required by the approved UIC permit.</w:t>
      </w:r>
    </w:p>
    <w:p>
      <w:r>
        <w:t>Gas detection at surface will be conducted at a 6 month frequency. Any deviations from baseline measurements attributed to Charm’s operations will be reported to LDENR with plans for corrective action, with operations resuming with LDENR approval.</w:t>
      </w:r>
    </w:p>
    <w:p>
      <w:r>
        <w:t>Charm’s Class V UIC permit is not expected to require groundwater or seismic monitoring.</w:t>
      </w:r>
    </w:p>
    <w:p>
      <w:pPr>
        <w:pStyle w:val="Heading3"/>
      </w:pPr>
      <w:r>
        <w:t>Post-injection Monitoring Plan</w:t>
      </w:r>
    </w:p>
    <w:p>
      <w:pPr>
        <w:pStyle w:val="Heading4"/>
      </w:pPr>
      <w:r>
        <w:t>During operations phase</w:t>
      </w:r>
    </w:p>
    <w:p>
      <w:pPr>
        <w:pStyle w:val="Heading5"/>
      </w:pPr>
      <w:r>
        <w:t>Density contrast</w:t>
      </w:r>
    </w:p>
    <w:p>
      <w:r>
        <w:t>In the absence of a monitoring well, formation fluid samples cannot be collected from the Basco 6 EW without jeopardizing previously sequestered volumes. All density values will be referenced to baseline formation fluid analysis results.</w:t>
      </w:r>
    </w:p>
    <w:p>
      <w:pPr>
        <w:pStyle w:val="Heading5"/>
      </w:pPr>
      <w:r>
        <w:t>Biogas monitoring</w:t>
      </w:r>
    </w:p>
    <w:p>
      <w:r>
        <w:t>Intermittent gas sampling will be performed if detected at surface.</w:t>
      </w:r>
    </w:p>
    <w:p>
      <w:pPr>
        <w:pStyle w:val="Heading5"/>
      </w:pPr>
      <w:r>
        <w:t>Monitoring for interaction with reservoir rocks</w:t>
      </w:r>
    </w:p>
    <w:p>
      <w:r>
        <w:t>Pressure falloff tests conducted throughout the operations phase that signal increase in pore space will be investigated with wellhead samples to corroborate the source.</w:t>
      </w:r>
    </w:p>
    <w:p>
      <w:pPr>
        <w:pStyle w:val="Heading5"/>
      </w:pPr>
      <w:r>
        <w:t>System integrity monitoring</w:t>
      </w:r>
    </w:p>
    <w:p>
      <w:r>
        <w:t>System integrity monitoring throughout the operations phase will continue as per UIC requirements.</w:t>
      </w:r>
    </w:p>
    <w:p>
      <w:pPr>
        <w:pStyle w:val="Heading4"/>
      </w:pPr>
      <w:r>
        <w:t>Post-injection monitoring plan</w:t>
      </w:r>
    </w:p>
    <w:p>
      <w:r>
        <w:t>Upon ceasing injection, Charm will issue a post-injection monitoring plan leveraging appropriate technologies for confirming permanence. A summary of closing activities is included in the following Appendix</w:t>
      </w:r>
    </w:p>
    <w:p>
      <w:pPr>
        <w:pStyle w:val="Heading3"/>
      </w:pPr>
      <w:r>
        <w:t>Site Emissions and Lot Emissions</w:t>
      </w:r>
    </w:p>
    <w:p w:rsidR="00000000" w:rsidDel="00000000" w:rsidP="00000000" w:rsidRDefault="00000000" w:rsidRPr="00000000" w14:paraId="00000BC9">
      <w:pPr>
        <w:widowControl w:val="0"/>
        <w:rPr/>
      </w:pPr>
      <w:r w:rsidDel="00000000" w:rsidR="00000000" w:rsidRPr="00000000">
        <w:rPr>
          <w:rtl w:val="0"/>
        </w:rPr>
        <w:t xml:space="preserve">Overview: Emissions associated with bio-oil sequestration are calculated one of two ways.</w:t>
      </w:r>
    </w:p>
    <w:p w:rsidR="00000000" w:rsidDel="00000000" w:rsidP="00000000" w:rsidRDefault="00000000" w:rsidRPr="00000000" w14:paraId="00000BCA">
      <w:pPr>
        <w:widowControl w:val="0"/>
        <w:numPr>
          <w:ilvl w:val="0"/>
          <w:numId w:val="11"/>
        </w:numPr>
        <w:ind w:left="720" w:hanging="360"/>
        <w:rPr>
          <w:i w:val="1"/>
          <w:iCs w:val="1"/>
        </w:rPr>
      </w:pPr>
      <w:r w:rsidDel="00000000" w:rsidR="00000000" w:rsidRPr="00000000">
        <w:rPr>
          <w:i w:val="1"/>
          <w:iCs w:val="1"/>
          <w:rtl w:val="0"/>
        </w:rPr>
        <w:t xml:space="preserve">Lot Emissions</w:t>
      </w:r>
      <w:r w:rsidDel="00000000" w:rsidR="00000000" w:rsidRPr="00000000">
        <w:rPr>
          <w:rtl w:val="0"/>
        </w:rPr>
        <w:t xml:space="preserve"> are emissions that can be clearly associated with a particular lot of bio oil. These emissions are associated with a specific lot of oil in the ledger and deducted from the net CDR associated with that specific lot or injection batch of bio-oil.</w:t>
      </w:r>
      <w:r w:rsidDel="00000000" w:rsidR="00000000" w:rsidRPr="00000000">
        <w:rPr>
          <w:rtl w:val="0"/>
        </w:rPr>
      </w:r>
    </w:p>
    <w:p w:rsidR="00000000" w:rsidDel="00000000" w:rsidP="00000000" w:rsidRDefault="00000000" w:rsidRPr="00000000" w14:paraId="00000BCB">
      <w:pPr>
        <w:widowControl w:val="0"/>
        <w:numPr>
          <w:ilvl w:val="0"/>
          <w:numId w:val="11"/>
        </w:numPr>
        <w:ind w:left="720" w:hanging="360"/>
        <w:rPr>
          <w:i w:val="1"/>
          <w:iCs w:val="1"/>
        </w:rPr>
      </w:pPr>
      <w:r w:rsidDel="00000000" w:rsidR="00000000" w:rsidRPr="00000000">
        <w:rPr>
          <w:i w:val="1"/>
          <w:iCs w:val="1"/>
          <w:rtl w:val="0"/>
        </w:rPr>
        <w:t xml:space="preserve">Site Emissions</w:t>
      </w:r>
      <w:r w:rsidDel="00000000" w:rsidR="00000000" w:rsidRPr="00000000">
        <w:rPr>
          <w:rtl w:val="0"/>
        </w:rPr>
        <w:t xml:space="preserve"> are emissions that cannot be associated with a specific lot of oil, but are associated with a particular processing site. These emissions are accrued to the site and deducted from removals associated with the site each reporting period. Site Emissions include, but are not limited to, emissions from energy used to power the site overall as these emissions cannot be reliably mapped to a particular processed lot.</w:t>
      </w:r>
      <w:r w:rsidDel="00000000" w:rsidR="00000000" w:rsidRPr="00000000">
        <w:rPr>
          <w:rtl w:val="0"/>
        </w:rPr>
      </w:r>
    </w:p>
    <w:p w:rsidR="00000000" w:rsidDel="00000000" w:rsidP="00000000" w:rsidRDefault="00000000" w:rsidRPr="00000000" w14:paraId="00000BCD">
      <w:pPr>
        <w:widowControl w:val="0"/>
        <w:rPr/>
      </w:pPr>
      <w:r w:rsidDel="00000000" w:rsidR="00000000" w:rsidRPr="00000000">
        <w:rPr>
          <w:rtl w:val="0"/>
        </w:rPr>
        <w:t xml:space="preserve">For clarity and transparency, all emission calculations discussed in this PDD are sorted into Lot Emission and Site Emission categories below</w:t>
      </w:r>
    </w:p>
    <w:p w:rsidR="00000000" w:rsidDel="00000000" w:rsidP="00000000" w:rsidRDefault="00000000" w:rsidRPr="00000000" w14:paraId="00000BCF">
      <w:pPr>
        <w:widowControl w:val="0"/>
        <w:numPr>
          <w:ilvl w:val="0"/>
          <w:numId w:val="10"/>
        </w:numPr>
        <w:ind w:left="720" w:hanging="360"/>
        <w:rPr>
          <w:u w:val="none"/>
        </w:rPr>
      </w:pPr>
      <w:r w:rsidDel="00000000" w:rsidR="00000000" w:rsidRPr="00000000">
        <w:rPr>
          <w:rtl w:val="0"/>
        </w:rPr>
        <w:t xml:space="preserve">Lot Emissions</w:t>
      </w:r>
      <w:r w:rsidDel="00000000" w:rsidR="00000000" w:rsidRPr="00000000">
        <w:rPr>
          <w:rtl w:val="0"/>
        </w:rPr>
      </w:r>
    </w:p>
    <w:p w:rsidR="00000000" w:rsidDel="00000000" w:rsidP="00000000" w:rsidRDefault="00000000" w:rsidRPr="00000000" w14:paraId="00000BD0">
      <w:pPr>
        <w:widowControl w:val="0"/>
        <w:numPr>
          <w:ilvl w:val="1"/>
          <w:numId w:val="10"/>
        </w:numPr>
        <w:ind w:left="1440" w:hanging="360"/>
        <w:rPr>
          <w:u w:val="none"/>
        </w:rPr>
      </w:pPr>
      <w:r w:rsidDel="00000000" w:rsidR="00000000" w:rsidRPr="00000000">
        <w:rPr>
          <w:rtl w:val="0"/>
        </w:rPr>
        <w:t xml:space="preserve">Pyrolysis Process Emissions</w:t>
      </w:r>
      <w:r w:rsidDel="00000000" w:rsidR="00000000" w:rsidRPr="00000000">
        <w:rPr>
          <w:rtl w:val="0"/>
        </w:rPr>
      </w:r>
    </w:p>
    <w:p w:rsidR="00000000" w:rsidDel="00000000" w:rsidP="00000000" w:rsidRDefault="00000000" w:rsidRPr="00000000" w14:paraId="00000BD1">
      <w:pPr>
        <w:widowControl w:val="0"/>
        <w:numPr>
          <w:ilvl w:val="2"/>
          <w:numId w:val="10"/>
        </w:numPr>
        <w:ind w:left="2160" w:hanging="360"/>
        <w:rPr>
          <w:u w:val="none"/>
        </w:rPr>
      </w:pPr>
      <w:r w:rsidDel="00000000" w:rsidR="00000000" w:rsidRPr="00000000">
        <w:rPr>
          <w:rtl w:val="0"/>
        </w:rPr>
        <w:t xml:space="preserve">Fuel Use from Feedstock Transport</w:t>
      </w:r>
      <w:r w:rsidDel="00000000" w:rsidR="00000000" w:rsidRPr="00000000">
        <w:rPr>
          <w:rtl w:val="0"/>
        </w:rPr>
      </w:r>
    </w:p>
    <w:p w:rsidR="00000000" w:rsidDel="00000000" w:rsidP="00000000" w:rsidRDefault="00000000" w:rsidRPr="00000000" w14:paraId="00000BD2">
      <w:pPr>
        <w:widowControl w:val="0"/>
        <w:numPr>
          <w:ilvl w:val="2"/>
          <w:numId w:val="10"/>
        </w:numPr>
        <w:ind w:left="2160" w:hanging="360"/>
        <w:rPr>
          <w:u w:val="none"/>
        </w:rPr>
      </w:pPr>
      <w:r w:rsidDel="00000000" w:rsidR="00000000" w:rsidRPr="00000000">
        <w:rPr>
          <w:rtl w:val="0"/>
        </w:rPr>
        <w:t xml:space="preserve">Fuel Use from Biomass Pyrolysis</w:t>
      </w:r>
      <w:r w:rsidDel="00000000" w:rsidR="00000000" w:rsidRPr="00000000">
        <w:rPr>
          <w:rtl w:val="0"/>
        </w:rPr>
      </w:r>
    </w:p>
    <w:p w:rsidR="00000000" w:rsidDel="00000000" w:rsidP="00000000" w:rsidRDefault="00000000" w:rsidRPr="00000000" w14:paraId="00000BD3">
      <w:pPr>
        <w:widowControl w:val="0"/>
        <w:numPr>
          <w:ilvl w:val="2"/>
          <w:numId w:val="10"/>
        </w:numPr>
        <w:ind w:left="2160" w:hanging="360"/>
        <w:rPr>
          <w:u w:val="none"/>
        </w:rPr>
      </w:pPr>
      <w:r w:rsidDel="00000000" w:rsidR="00000000" w:rsidRPr="00000000">
        <w:rPr>
          <w:rtl w:val="0"/>
        </w:rPr>
        <w:t xml:space="preserve">Electricity Use from Biomass Pyrolysis</w:t>
      </w:r>
      <w:r w:rsidDel="00000000" w:rsidR="00000000" w:rsidRPr="00000000">
        <w:rPr>
          <w:rtl w:val="0"/>
        </w:rPr>
      </w:r>
    </w:p>
    <w:p w:rsidR="00000000" w:rsidDel="00000000" w:rsidP="00000000" w:rsidRDefault="00000000" w:rsidRPr="00000000" w14:paraId="00000BD4">
      <w:pPr>
        <w:widowControl w:val="0"/>
        <w:numPr>
          <w:ilvl w:val="2"/>
          <w:numId w:val="10"/>
        </w:numPr>
        <w:ind w:left="2160" w:hanging="360"/>
        <w:rPr>
          <w:u w:val="none"/>
        </w:rPr>
      </w:pPr>
      <w:r w:rsidDel="00000000" w:rsidR="00000000" w:rsidRPr="00000000">
        <w:rPr>
          <w:rtl w:val="0"/>
        </w:rPr>
        <w:t xml:space="preserve">Pyrolysis Tailgas</w:t>
      </w:r>
      <w:r w:rsidDel="00000000" w:rsidR="00000000" w:rsidRPr="00000000">
        <w:rPr>
          <w:rtl w:val="0"/>
        </w:rPr>
      </w:r>
    </w:p>
    <w:p w:rsidR="00000000" w:rsidDel="00000000" w:rsidP="00000000" w:rsidRDefault="00000000" w:rsidRPr="00000000" w14:paraId="00000BD5">
      <w:pPr>
        <w:widowControl w:val="0"/>
        <w:numPr>
          <w:ilvl w:val="1"/>
          <w:numId w:val="10"/>
        </w:numPr>
        <w:ind w:left="1440" w:hanging="360"/>
        <w:rPr>
          <w:u w:val="none"/>
        </w:rPr>
      </w:pPr>
      <w:r w:rsidDel="00000000" w:rsidR="00000000" w:rsidRPr="00000000">
        <w:rPr>
          <w:rtl w:val="0"/>
        </w:rPr>
        <w:t xml:space="preserve">Pyrolysis Embodied Emissions</w:t>
      </w:r>
      <w:r w:rsidDel="00000000" w:rsidR="00000000" w:rsidRPr="00000000">
        <w:rPr>
          <w:rtl w:val="0"/>
        </w:rPr>
      </w:r>
    </w:p>
    <w:p w:rsidR="00000000" w:rsidDel="00000000" w:rsidP="00000000" w:rsidRDefault="00000000" w:rsidRPr="00000000" w14:paraId="00000BD6">
      <w:pPr>
        <w:widowControl w:val="0"/>
        <w:numPr>
          <w:ilvl w:val="2"/>
          <w:numId w:val="10"/>
        </w:numPr>
        <w:ind w:left="2160" w:hanging="360"/>
        <w:rPr/>
      </w:pPr>
      <w:r w:rsidDel="00000000" w:rsidR="00000000" w:rsidRPr="00000000">
        <w:rPr>
          <w:rtl w:val="0"/>
        </w:rPr>
        <w:t xml:space="preserve">Embodied Emissions from Feedstock Transport</w:t>
      </w:r>
    </w:p>
    <w:p w:rsidR="00000000" w:rsidDel="00000000" w:rsidP="00000000" w:rsidRDefault="00000000" w:rsidRPr="00000000" w14:paraId="00000BD7">
      <w:pPr>
        <w:widowControl w:val="0"/>
        <w:numPr>
          <w:ilvl w:val="2"/>
          <w:numId w:val="10"/>
        </w:numPr>
        <w:ind w:left="2160" w:hanging="360"/>
        <w:rPr/>
      </w:pPr>
      <w:r w:rsidDel="00000000" w:rsidR="00000000" w:rsidRPr="00000000">
        <w:rPr>
          <w:rtl w:val="0"/>
        </w:rPr>
        <w:t xml:space="preserve">Embodied Emissions from Equipment and Facilities for Biomass Pyrolysis</w:t>
      </w:r>
    </w:p>
    <w:p w:rsidR="00000000" w:rsidDel="00000000" w:rsidP="00000000" w:rsidRDefault="00000000" w:rsidRPr="00000000" w14:paraId="00000BD8">
      <w:pPr>
        <w:widowControl w:val="0"/>
        <w:numPr>
          <w:ilvl w:val="1"/>
          <w:numId w:val="10"/>
        </w:numPr>
        <w:ind w:left="1440" w:hanging="360"/>
        <w:rPr>
          <w:u w:val="none"/>
        </w:rPr>
      </w:pPr>
      <w:r w:rsidDel="00000000" w:rsidR="00000000" w:rsidRPr="00000000">
        <w:rPr>
          <w:rtl w:val="0"/>
        </w:rPr>
        <w:t xml:space="preserve">Fuel Use from Injectate Transport to Pre-Processing</w:t>
      </w:r>
      <w:r w:rsidDel="00000000" w:rsidR="00000000" w:rsidRPr="00000000">
        <w:rPr>
          <w:rtl w:val="0"/>
        </w:rPr>
      </w:r>
    </w:p>
    <w:p w:rsidR="00000000" w:rsidDel="00000000" w:rsidP="00000000" w:rsidRDefault="00000000" w:rsidRPr="00000000" w14:paraId="00000BD9">
      <w:pPr>
        <w:widowControl w:val="0"/>
        <w:numPr>
          <w:ilvl w:val="1"/>
          <w:numId w:val="10"/>
        </w:numPr>
        <w:ind w:left="1440" w:hanging="360"/>
        <w:rPr>
          <w:u w:val="none"/>
        </w:rPr>
      </w:pPr>
      <w:r w:rsidDel="00000000" w:rsidR="00000000" w:rsidRPr="00000000">
        <w:rPr>
          <w:rtl w:val="0"/>
        </w:rPr>
        <w:t xml:space="preserve">Vehicle Embodied Emissions from Injectate Transport to Pre-Processing</w:t>
      </w:r>
      <w:r w:rsidDel="00000000" w:rsidR="00000000" w:rsidRPr="00000000">
        <w:rPr>
          <w:rtl w:val="0"/>
        </w:rPr>
      </w:r>
    </w:p>
    <w:p w:rsidR="00000000" w:rsidDel="00000000" w:rsidP="00000000" w:rsidRDefault="00000000" w:rsidRPr="00000000" w14:paraId="00000BDA">
      <w:pPr>
        <w:widowControl w:val="0"/>
        <w:numPr>
          <w:ilvl w:val="1"/>
          <w:numId w:val="10"/>
        </w:numPr>
        <w:ind w:left="1440" w:hanging="360"/>
        <w:rPr>
          <w:u w:val="none"/>
        </w:rPr>
      </w:pPr>
      <w:r w:rsidDel="00000000" w:rsidR="00000000" w:rsidRPr="00000000">
        <w:rPr>
          <w:rtl w:val="0"/>
        </w:rPr>
        <w:t xml:space="preserve">Embodied Emissions from Liquid Caustic Soda for Injectate Pre-Processing</w:t>
      </w:r>
      <w:r w:rsidDel="00000000" w:rsidR="00000000" w:rsidRPr="00000000">
        <w:rPr>
          <w:rtl w:val="0"/>
        </w:rPr>
      </w:r>
    </w:p>
    <w:p w:rsidR="00000000" w:rsidDel="00000000" w:rsidP="00000000" w:rsidRDefault="00000000" w:rsidRPr="00000000" w14:paraId="00000BDB">
      <w:pPr>
        <w:widowControl w:val="0"/>
        <w:numPr>
          <w:ilvl w:val="1"/>
          <w:numId w:val="10"/>
        </w:numPr>
        <w:ind w:left="1440" w:hanging="360"/>
        <w:rPr>
          <w:u w:val="none"/>
        </w:rPr>
      </w:pPr>
      <w:r w:rsidDel="00000000" w:rsidR="00000000" w:rsidRPr="00000000">
        <w:rPr>
          <w:rtl w:val="0"/>
        </w:rPr>
        <w:t xml:space="preserve">Fuel Use from Processed Injectate Transport to Injection Site</w:t>
      </w:r>
      <w:r w:rsidDel="00000000" w:rsidR="00000000" w:rsidRPr="00000000">
        <w:rPr>
          <w:rtl w:val="0"/>
        </w:rPr>
      </w:r>
    </w:p>
    <w:p w:rsidR="00000000" w:rsidDel="00000000" w:rsidP="00000000" w:rsidRDefault="00000000" w:rsidRPr="00000000" w14:paraId="00000BDC">
      <w:pPr>
        <w:widowControl w:val="0"/>
        <w:numPr>
          <w:ilvl w:val="1"/>
          <w:numId w:val="10"/>
        </w:numPr>
        <w:ind w:left="1440" w:hanging="360"/>
        <w:rPr>
          <w:u w:val="none"/>
        </w:rPr>
      </w:pPr>
      <w:r w:rsidDel="00000000" w:rsidR="00000000" w:rsidRPr="00000000">
        <w:rPr>
          <w:rtl w:val="0"/>
        </w:rPr>
        <w:t xml:space="preserve">Vehicle Embodied Emissions from Processed Injectate Transport to Injection Site</w:t>
      </w:r>
      <w:r w:rsidDel="00000000" w:rsidR="00000000" w:rsidRPr="00000000">
        <w:rPr>
          <w:rtl w:val="0"/>
        </w:rPr>
      </w:r>
    </w:p>
    <w:p w:rsidR="00000000" w:rsidDel="00000000" w:rsidP="00000000" w:rsidRDefault="00000000" w:rsidRPr="00000000" w14:paraId="00000BDD">
      <w:pPr>
        <w:widowControl w:val="0"/>
        <w:numPr>
          <w:ilvl w:val="1"/>
          <w:numId w:val="10"/>
        </w:numPr>
        <w:ind w:left="1440" w:hanging="360"/>
        <w:rPr>
          <w:u w:val="none"/>
        </w:rPr>
      </w:pPr>
      <w:r w:rsidDel="00000000" w:rsidR="00000000" w:rsidRPr="00000000">
        <w:rPr>
          <w:rtl w:val="0"/>
        </w:rPr>
        <w:t xml:space="preserve">Embodied Emissions from Injection Equipment</w:t>
      </w:r>
      <w:r w:rsidDel="00000000" w:rsidR="00000000" w:rsidRPr="00000000">
        <w:rPr>
          <w:rtl w:val="0"/>
        </w:rPr>
      </w:r>
    </w:p>
    <w:p w:rsidR="00000000" w:rsidDel="00000000" w:rsidP="00000000" w:rsidRDefault="00000000" w:rsidRPr="00000000" w14:paraId="00000BDE">
      <w:pPr>
        <w:widowControl w:val="0"/>
        <w:numPr>
          <w:ilvl w:val="1"/>
          <w:numId w:val="10"/>
        </w:numPr>
        <w:ind w:left="1440" w:hanging="360"/>
        <w:rPr>
          <w:u w:val="none"/>
        </w:rPr>
      </w:pPr>
      <w:r w:rsidDel="00000000" w:rsidR="00000000" w:rsidRPr="00000000">
        <w:rPr>
          <w:rtl w:val="0"/>
        </w:rPr>
        <w:t xml:space="preserve">Carbon Content of Injected Biomass (contra-emission)</w:t>
      </w:r>
      <w:r w:rsidDel="00000000" w:rsidR="00000000" w:rsidRPr="00000000">
        <w:rPr>
          <w:rtl w:val="0"/>
        </w:rPr>
      </w:r>
    </w:p>
    <w:p w:rsidR="00000000" w:rsidDel="00000000" w:rsidP="00000000" w:rsidRDefault="00000000" w:rsidRPr="00000000" w14:paraId="00000BDF">
      <w:pPr>
        <w:widowControl w:val="0"/>
        <w:numPr>
          <w:ilvl w:val="1"/>
          <w:numId w:val="10"/>
        </w:numPr>
        <w:ind w:left="1440" w:hanging="360"/>
        <w:rPr>
          <w:u w:val="none"/>
        </w:rPr>
      </w:pPr>
      <w:r w:rsidDel="00000000" w:rsidR="00000000" w:rsidRPr="00000000">
        <w:rPr>
          <w:rtl w:val="0"/>
        </w:rPr>
        <w:t xml:space="preserve">Emissions from Sample Transport to lab</w:t>
      </w:r>
      <w:r w:rsidDel="00000000" w:rsidR="00000000" w:rsidRPr="00000000">
        <w:rPr>
          <w:rtl w:val="0"/>
        </w:rPr>
      </w:r>
    </w:p>
    <w:p w:rsidR="00000000" w:rsidDel="00000000" w:rsidP="00000000" w:rsidRDefault="00000000" w:rsidRPr="00000000" w14:paraId="00000BE0">
      <w:pPr>
        <w:widowControl w:val="0"/>
        <w:numPr>
          <w:ilvl w:val="0"/>
          <w:numId w:val="10"/>
        </w:numPr>
        <w:ind w:left="720" w:hanging="360"/>
        <w:rPr>
          <w:u w:val="none"/>
        </w:rPr>
      </w:pPr>
      <w:r w:rsidDel="00000000" w:rsidR="00000000" w:rsidRPr="00000000">
        <w:rPr>
          <w:rtl w:val="0"/>
        </w:rPr>
        <w:t xml:space="preserve">Site Emissions</w:t>
      </w:r>
      <w:r w:rsidDel="00000000" w:rsidR="00000000" w:rsidRPr="00000000">
        <w:rPr>
          <w:rtl w:val="0"/>
        </w:rPr>
      </w:r>
    </w:p>
    <w:p w:rsidR="00000000" w:rsidDel="00000000" w:rsidP="00000000" w:rsidRDefault="00000000" w:rsidRPr="00000000" w14:paraId="00000BE1">
      <w:pPr>
        <w:widowControl w:val="0"/>
        <w:numPr>
          <w:ilvl w:val="1"/>
          <w:numId w:val="10"/>
        </w:numPr>
        <w:ind w:left="1440" w:hanging="360"/>
        <w:rPr>
          <w:u w:val="none"/>
        </w:rPr>
      </w:pPr>
      <w:r w:rsidDel="00000000" w:rsidR="00000000" w:rsidRPr="00000000">
        <w:rPr>
          <w:rtl w:val="0"/>
        </w:rPr>
        <w:t xml:space="preserve">Electricity Use from Injectate Pre-Processing</w:t>
      </w:r>
      <w:r w:rsidDel="00000000" w:rsidR="00000000" w:rsidRPr="00000000">
        <w:rPr>
          <w:rtl w:val="0"/>
        </w:rPr>
      </w:r>
    </w:p>
    <w:p w:rsidR="00000000" w:rsidDel="00000000" w:rsidP="00000000" w:rsidRDefault="00000000" w:rsidRPr="00000000" w14:paraId="00000BE2">
      <w:pPr>
        <w:widowControl w:val="0"/>
        <w:numPr>
          <w:ilvl w:val="1"/>
          <w:numId w:val="10"/>
        </w:numPr>
        <w:ind w:left="1440" w:hanging="360"/>
        <w:rPr>
          <w:u w:val="none"/>
        </w:rPr>
      </w:pPr>
      <w:r w:rsidDel="00000000" w:rsidR="00000000" w:rsidRPr="00000000">
        <w:rPr>
          <w:rtl w:val="0"/>
        </w:rPr>
        <w:t xml:space="preserve">Fuel Use from Injectate Pre-Processing</w:t>
      </w:r>
      <w:r w:rsidDel="00000000" w:rsidR="00000000" w:rsidRPr="00000000">
        <w:rPr>
          <w:rtl w:val="0"/>
        </w:rPr>
      </w:r>
    </w:p>
    <w:p w:rsidR="00000000" w:rsidDel="00000000" w:rsidP="00000000" w:rsidRDefault="00000000" w:rsidRPr="00000000" w14:paraId="00000BE3">
      <w:pPr>
        <w:widowControl w:val="0"/>
        <w:numPr>
          <w:ilvl w:val="1"/>
          <w:numId w:val="10"/>
        </w:numPr>
        <w:ind w:left="1440" w:hanging="360"/>
        <w:rPr>
          <w:u w:val="none"/>
        </w:rPr>
      </w:pPr>
      <w:r w:rsidDel="00000000" w:rsidR="00000000" w:rsidRPr="00000000">
        <w:rPr>
          <w:rtl w:val="0"/>
        </w:rPr>
        <w:t xml:space="preserve">Fuel Use from Consumables Delivery Transport</w:t>
      </w:r>
      <w:r w:rsidDel="00000000" w:rsidR="00000000" w:rsidRPr="00000000">
        <w:rPr>
          <w:rtl w:val="0"/>
        </w:rPr>
      </w:r>
    </w:p>
    <w:p w:rsidR="00000000" w:rsidDel="00000000" w:rsidP="00000000" w:rsidRDefault="00000000" w:rsidRPr="00000000" w14:paraId="00000BE4">
      <w:pPr>
        <w:widowControl w:val="0"/>
        <w:numPr>
          <w:ilvl w:val="1"/>
          <w:numId w:val="10"/>
        </w:numPr>
        <w:ind w:left="1440" w:hanging="360"/>
        <w:rPr>
          <w:u w:val="none"/>
        </w:rPr>
      </w:pPr>
      <w:r w:rsidDel="00000000" w:rsidR="00000000" w:rsidRPr="00000000">
        <w:rPr>
          <w:rtl w:val="0"/>
        </w:rPr>
        <w:t xml:space="preserve">Embodied Emissions from Consumables Delivery Transport</w:t>
      </w:r>
      <w:r w:rsidDel="00000000" w:rsidR="00000000" w:rsidRPr="00000000">
        <w:rPr>
          <w:rtl w:val="0"/>
        </w:rPr>
      </w:r>
    </w:p>
    <w:p w:rsidR="00000000" w:rsidDel="00000000" w:rsidP="00000000" w:rsidRDefault="00000000" w:rsidRPr="00000000" w14:paraId="00000BE5">
      <w:pPr>
        <w:widowControl w:val="0"/>
        <w:numPr>
          <w:ilvl w:val="1"/>
          <w:numId w:val="10"/>
        </w:numPr>
        <w:ind w:left="1440" w:hanging="360"/>
        <w:rPr>
          <w:u w:val="none"/>
        </w:rPr>
      </w:pPr>
      <w:r w:rsidDel="00000000" w:rsidR="00000000" w:rsidRPr="00000000">
        <w:rPr>
          <w:rtl w:val="0"/>
        </w:rPr>
        <w:t xml:space="preserve">Electricity Use from Injection</w:t>
      </w:r>
      <w:r w:rsidDel="00000000" w:rsidR="00000000" w:rsidRPr="00000000">
        <w:rPr>
          <w:rtl w:val="0"/>
        </w:rPr>
      </w:r>
    </w:p>
    <w:p w:rsidR="00000000" w:rsidDel="00000000" w:rsidP="00000000" w:rsidRDefault="00000000" w:rsidRPr="00000000" w14:paraId="00000BE6">
      <w:pPr>
        <w:widowControl w:val="0"/>
        <w:numPr>
          <w:ilvl w:val="1"/>
          <w:numId w:val="10"/>
        </w:numPr>
        <w:ind w:left="1440" w:hanging="360"/>
        <w:rPr>
          <w:u w:val="none"/>
        </w:rPr>
      </w:pPr>
      <w:r w:rsidDel="00000000" w:rsidR="00000000" w:rsidRPr="00000000">
        <w:rPr>
          <w:rtl w:val="0"/>
        </w:rPr>
        <w:t xml:space="preserve">Fuel Use from Injection</w:t>
      </w:r>
      <w:r w:rsidDel="00000000" w:rsidR="00000000" w:rsidRPr="00000000">
        <w:rPr>
          <w:rtl w:val="0"/>
        </w:rPr>
      </w:r>
    </w:p>
    <w:p w:rsidR="00000000" w:rsidDel="00000000" w:rsidP="00000000" w:rsidRDefault="00000000" w:rsidRPr="00000000" w14:paraId="00000BE7">
      <w:pPr>
        <w:widowControl w:val="0"/>
        <w:numPr>
          <w:ilvl w:val="0"/>
          <w:numId w:val="10"/>
        </w:numPr>
        <w:ind w:left="720" w:hanging="360"/>
        <w:rPr>
          <w:u w:val="none"/>
        </w:rPr>
      </w:pPr>
      <w:r w:rsidDel="00000000" w:rsidR="00000000" w:rsidRPr="00000000">
        <w:rPr>
          <w:rtl w:val="0"/>
        </w:rPr>
        <w:t xml:space="preserve">All emissions from Charm bio-oil production</w:t>
      </w:r>
      <w:r w:rsidDel="00000000" w:rsidR="00000000" w:rsidRPr="00000000">
        <w:rPr>
          <w:rtl w:val="0"/>
        </w:rPr>
      </w:r>
    </w:p>
    <w:p w:rsidR="00000000" w:rsidDel="00000000" w:rsidP="00000000" w:rsidRDefault="00000000" w:rsidRPr="00000000" w14:paraId="00000BE8">
      <w:pPr>
        <w:widowControl w:val="0"/>
        <w:numPr>
          <w:ilvl w:val="1"/>
          <w:numId w:val="10"/>
        </w:numPr>
        <w:ind w:left="1440" w:hanging="360"/>
        <w:rPr>
          <w:u w:val="none"/>
        </w:rPr>
      </w:pPr>
      <w:r w:rsidDel="00000000" w:rsidR="00000000" w:rsidRPr="00000000">
        <w:rPr>
          <w:rtl w:val="0"/>
        </w:rPr>
        <w:t xml:space="preserve">All emissions (process and embodied) are aggregated at the site level and allocated across all pyrolysis products produced during a given Production Period</w:t>
      </w:r>
      <w:r w:rsidDel="00000000" w:rsidR="00000000" w:rsidRPr="00000000">
        <w:rPr>
          <w:rtl w:val="0"/>
        </w:rPr>
      </w:r>
    </w:p>
    <w:p w:rsidR="00000000" w:rsidDel="00000000" w:rsidP="00000000" w:rsidRDefault="00000000" w:rsidRPr="00000000" w14:paraId="00000BE9">
      <w:pPr>
        <w:widowControl w:val="0"/>
        <w:numPr>
          <w:ilvl w:val="1"/>
          <w:numId w:val="10"/>
        </w:numPr>
        <w:ind w:left="1440" w:hanging="360"/>
        <w:rPr>
          <w:u w:val="none"/>
        </w:rPr>
      </w:pPr>
      <w:r w:rsidDel="00000000" w:rsidR="00000000" w:rsidRPr="00000000">
        <w:rPr>
          <w:rtl w:val="0"/>
        </w:rPr>
        <w:t xml:space="preserve">This means that they are calculated at the site level during production. However, when the emissions associated with a particular lot of Charm-produced bio-oil are used in the net CDR calculation of a particular removal, they are treated as lot emissions because they are associated with a particular bio-oil lot</w:t>
      </w:r>
      <w:r w:rsidDel="00000000" w:rsidR="00000000" w:rsidRPr="00000000">
        <w:rPr>
          <w:rtl w:val="0"/>
        </w:rPr>
      </w:r>
    </w:p>
    <w:p w:rsidR="00000000" w:rsidDel="00000000" w:rsidP="00000000" w:rsidRDefault="00000000" w:rsidRPr="00000000" w14:paraId="00000BEA">
      <w:pPr>
        <w:widowControl w:val="0"/>
        <w:numPr>
          <w:ilvl w:val="1"/>
          <w:numId w:val="10"/>
        </w:numPr>
        <w:ind w:left="1440" w:hanging="360"/>
        <w:rPr>
          <w:u w:val="none"/>
        </w:rPr>
      </w:pPr>
      <w:r w:rsidDel="00000000" w:rsidR="00000000" w:rsidRPr="00000000">
        <w:rPr>
          <w:rtl w:val="0"/>
        </w:rPr>
        <w:t xml:space="preserve">This distinction also relates to periodization</w:t>
      </w:r>
      <w:r w:rsidDel="00000000" w:rsidR="00000000" w:rsidRPr="00000000">
        <w:rPr>
          <w:rtl w:val="0"/>
        </w:rPr>
      </w:r>
    </w:p>
    <w:p w:rsidR="00000000" w:rsidDel="00000000" w:rsidP="00000000" w:rsidRDefault="00000000" w:rsidRPr="00000000" w14:paraId="00000BEB">
      <w:pPr>
        <w:widowControl w:val="0"/>
        <w:numPr>
          <w:ilvl w:val="2"/>
          <w:numId w:val="10"/>
        </w:numPr>
        <w:ind w:left="2160" w:hanging="360"/>
        <w:rPr>
          <w:u w:val="none"/>
        </w:rPr>
      </w:pPr>
      <w:r w:rsidDel="00000000" w:rsidR="00000000" w:rsidRPr="00000000">
        <w:rPr>
          <w:rtl w:val="0"/>
        </w:rPr>
        <w:t xml:space="preserve">A Production Period designates all of the CO2e emitted and pyrolysis products produced during a particular period at Charm’s pyrolysis facility produced between a start date and end date</w:t>
      </w:r>
      <w:r w:rsidDel="00000000" w:rsidR="00000000" w:rsidRPr="00000000">
        <w:rPr>
          <w:rtl w:val="0"/>
        </w:rPr>
      </w:r>
    </w:p>
    <w:p w:rsidR="00000000" w:rsidDel="00000000" w:rsidP="00000000" w:rsidRDefault="00000000" w:rsidRPr="00000000" w14:paraId="00000BEC">
      <w:pPr>
        <w:widowControl w:val="0"/>
        <w:numPr>
          <w:ilvl w:val="3"/>
          <w:numId w:val="10"/>
        </w:numPr>
        <w:ind w:left="2880" w:hanging="360"/>
        <w:rPr>
          <w:u w:val="none"/>
        </w:rPr>
      </w:pPr>
      <w:r w:rsidDel="00000000" w:rsidR="00000000" w:rsidRPr="00000000">
        <w:rPr>
          <w:rtl w:val="0"/>
        </w:rPr>
        <w:t xml:space="preserve">All emissions produced during a given Production Period are allocated to the injectable pyrolysis products produced during that period</w:t>
      </w:r>
      <w:r w:rsidDel="00000000" w:rsidR="00000000" w:rsidRPr="00000000">
        <w:rPr>
          <w:rtl w:val="0"/>
        </w:rPr>
      </w:r>
    </w:p>
    <w:p w:rsidR="00000000" w:rsidDel="00000000" w:rsidP="00000000" w:rsidRDefault="00000000" w:rsidRPr="00000000" w14:paraId="00000BED">
      <w:pPr>
        <w:widowControl w:val="0"/>
        <w:numPr>
          <w:ilvl w:val="3"/>
          <w:numId w:val="10"/>
        </w:numPr>
        <w:ind w:left="2880" w:hanging="360"/>
        <w:rPr>
          <w:u w:val="none"/>
        </w:rPr>
      </w:pPr>
      <w:r w:rsidDel="00000000" w:rsidR="00000000" w:rsidRPr="00000000">
        <w:rPr>
          <w:rtl w:val="0"/>
        </w:rPr>
        <w:t xml:space="preserve">As injectable pyrolysis products are sequestered, the allocated emissions are deducted from the Net CDR associated with the removal. This calculation is made during the Reporting Period during which the injection occurs</w:t>
      </w:r>
      <w:r w:rsidDel="00000000" w:rsidR="00000000" w:rsidRPr="00000000">
        <w:rPr>
          <w:rtl w:val="0"/>
        </w:rPr>
      </w:r>
    </w:p>
    <w:p w:rsidR="00000000" w:rsidDel="00000000" w:rsidP="00000000" w:rsidRDefault="00000000" w:rsidRPr="00000000" w14:paraId="00000BEE">
      <w:pPr>
        <w:widowControl w:val="0"/>
        <w:numPr>
          <w:ilvl w:val="2"/>
          <w:numId w:val="10"/>
        </w:numPr>
        <w:ind w:left="2160" w:hanging="360"/>
        <w:rPr>
          <w:u w:val="none"/>
        </w:rPr>
      </w:pPr>
      <w:r w:rsidDel="00000000" w:rsidR="00000000" w:rsidRPr="00000000">
        <w:rPr>
          <w:rtl w:val="0"/>
        </w:rPr>
        <w:t xml:space="preserve">A Reporting Period designates the reporting of all removals completed between a start and end date and the reporting of associated CDR calculations</w:t>
      </w:r>
      <w:r w:rsidDel="00000000" w:rsidR="00000000" w:rsidRPr="00000000">
        <w:rPr>
          <w:rtl w:val="0"/>
        </w:rPr>
      </w:r>
    </w:p>
    <w:p w:rsidR="00000000" w:rsidDel="00000000" w:rsidP="00000000" w:rsidRDefault="00000000" w:rsidRPr="00000000" w14:paraId="00000BEF">
      <w:pPr>
        <w:widowControl w:val="0"/>
        <w:numPr>
          <w:ilvl w:val="3"/>
          <w:numId w:val="10"/>
        </w:numPr>
        <w:ind w:left="2880" w:hanging="360"/>
        <w:rPr>
          <w:u w:val="none"/>
        </w:rPr>
      </w:pPr>
      <w:r w:rsidDel="00000000" w:rsidR="00000000" w:rsidRPr="00000000">
        <w:rPr>
          <w:rtl w:val="0"/>
        </w:rPr>
        <w:t xml:space="preserve">Emissions associated with the production of pyrolysis products are netted out against the Net CDR claimed during the Reporting Period during which they are injected</w:t>
      </w:r>
      <w:r w:rsidDel="00000000" w:rsidR="00000000" w:rsidRPr="00000000">
        <w:rPr>
          <w:rtl w:val="0"/>
        </w:rPr>
      </w:r>
    </w:p>
    <w:p>
      <w:pPr>
        <w:pStyle w:val="Heading2"/>
      </w:pPr>
      <w:r>
        <w:t>4. Site Well Closure and Remediation Plan</w:t>
      </w:r>
    </w:p>
    <w:p>
      <w:pPr>
        <w:pStyle w:val="IntenseQuote"/>
      </w:pPr>
      <w:r>
        <w:t>Source: Appendix 9 – Basco 6 Bio-Oil Sequestration Site Well Closure and Remediation Plan (verbatim)</w:t>
      </w:r>
    </w:p>
    <w:p>
      <w:pPr>
        <w:pStyle w:val="Heading3"/>
      </w:pPr>
      <w:r>
        <w:t>Project Closure</w:t>
      </w:r>
    </w:p>
    <w:p>
      <w:pPr/>
      <w:r>
        <w:t>Definition of Project cessation: KS Once Vaulted indicates that the cavern is at capacity, or Charm decides to cease injection at Vaulted’s Great Plains Cavern facility, whichever comes first. LA Once Charm determines  that reservoir is at capacity, or Charm decides to cease injection at Basco 6, whichever comes first.</w:t>
      </w:r>
    </w:p>
    <w:p>
      <w:pPr/>
      <w:r>
        <w:t>KS Closure Plan:  In either case, Vaulted is responsible for the closure and/or ongoing monitoring of the cavern after Charm has ceased operations at the facility. Vaulted has accounted for their closure methods: “As a cavern reaches its capacity, Vaulted shuts the well in and places the cavern on monitoring status (post-injection monitoring) for a period of time to confirm the well is static and to comply with KDHE rules. Once the appropriate post monitoring period is complete, each at-capacity cavern will be plugged with cement in a manner that prevents the movement of fluids either into or between underground sources of drinking water (USDW).” LA Please see Appendix 8 for details regarding Charm’s well closure plan.</w:t>
      </w:r>
    </w:p>
    <w:p>
      <w:r>
        <w:t>Location: Basco 6 EW, Evangeline Parish, Louisiana</w:t>
      </w:r>
    </w:p>
    <w:p>
      <w:pPr>
        <w:pStyle w:val="Heading3"/>
      </w:pPr>
      <w:r>
        <w:t>Preliminary Work and Notifications</w:t>
      </w:r>
    </w:p>
    <w:p>
      <w:r>
        <w:t>Prior to initiating the closure of the injection well, the operator shall notify the Louisiana Department of Natural Resources (LDNR) Office of Conservation by submitting a completed Form UIC-23. This notification must be provided at least ten days in advance of the intended start date of plugging and abandonment (P&amp;A) operations. As part of the preparation, a mechanical integrity test (MIT) will be conducted to evaluate the condition of the well and confirm the integrity of the casing and tubing. If issues are detected, they will be documented and incorporated into the final plugging design.</w:t>
      </w:r>
    </w:p>
    <w:p>
      <w:r>
        <w:t>A review of all available well records will be undertaken to inform the P&amp;A approach. This review will include analysis of drilling and completion reports, cement bond logs (CBL), casing and tubing schematics, and any historical workover documentation. These data will guide decisions about plug placement and the required cement volumes to ensure a secure and permanent abandonment.</w:t>
      </w:r>
    </w:p>
    <w:p>
      <w:r>
        <w:t>After the well has reached the end of injection, but prior to commencing P&amp;A operations, the well will be shut-in and monitored to ensure bio-oil is stable. Once stability is verified, the well will be cleared for preparation to start plugging operations.</w:t>
      </w:r>
    </w:p>
    <w:p>
      <w:r>
        <w:t>Wellbore Preparation</w:t>
      </w:r>
    </w:p>
    <w:p>
      <w:r>
        <w:t>The plugging operations will begin with the removal of any downhole equipment, including injection tubing and the packer, to ensure clear access to the wellbore. Once these components are extracted, the well will be circulated with clean fluid to displace residual injection fluids and suspended solids from the wellbore. Wireline logs will be run in accordance with the UIC permit, including corrosion inspection and final vertical saturation. A caliper log will also be run to assess the internal diameter and condition of the casing to verify it can support planned plug placements without risk of washout or collapse.</w:t>
      </w:r>
    </w:p>
    <w:p>
      <w:pPr>
        <w:pStyle w:val="Heading3"/>
      </w:pPr>
      <w:r>
        <w:t>Plugging Operations</w:t>
      </w:r>
    </w:p>
    <w:p>
      <w:r>
        <w:t>The plugging plan for this well includes the strategic placement of cement plugs throughout the wellbore to isolate any perforated zones, protect underground sources of drinking water (USDW), and secure the surface. At the base of the well, a cement plug will be set to cover the bottom perforation or the base of the injection zone, with a typical plug length of at least 50 feet. A second plug will be placed across the casing shoe or the base of the USDW, extending for approximately 100 feet to ensure zonal isolation.</w:t>
      </w:r>
    </w:p>
    <w:p>
      <w:r>
        <w:t>A surface plug will then be placed across the casing shoe, generally from 50 feet below to 50 feet above the shoe, for a total length of 100 feet. Finally, a shallow surface seal plug will be installed within the top 25 feet of the well to provide a protective barrier near the ground surface. All cement used will conform to API Class A specifications and may be modified with additives such as retarders or accelerators to accommodate specific well conditions, such as temperature or pressure.</w:t>
      </w:r>
    </w:p>
    <w:p>
      <w:pPr>
        <w:pStyle w:val="Heading3"/>
      </w:pPr>
      <w:r>
        <w:t>Casing and Surface Equipment</w:t>
      </w:r>
    </w:p>
    <w:p>
      <w:r>
        <w:t>Following the installation of cement plugs, the production casing will be cut approximately five feet below ground level using mechanical cutting tools. All surface equipment, including the wellhead and associated valves, will be removed to eliminate any above-ground hazards. A steel plate will be welded over the exposed casing stub to serve as a permanent barrier. In cases where venting is necessary, a vented cap may be installed instead. The site will then be secured, and appropriate signage will be installed to mark the well location for future reference.</w:t>
      </w:r>
    </w:p>
    <w:p>
      <w:pPr>
        <w:pStyle w:val="Heading3"/>
      </w:pPr>
      <w:r>
        <w:t>Site Remediation</w:t>
      </w:r>
    </w:p>
    <w:p>
      <w:r>
        <w:t>Upon completion of plugging activities, the well pad and surrounding site will be reclaimed. Grading operations will restore the terrain to its original contours or to a condition compatible with surrounding land use. All debris and materials from the P&amp;A operation will be removed from the location. To encourage environmental recovery, the site will be reseeded with an approved native vegetation mix.</w:t>
      </w:r>
    </w:p>
    <w:p>
      <w:r>
        <w:t>If required by site history or proximity to sensitive receptors, soil and groundwater samples may be collected to test for residual hydrocarbons, chlorides, or other contaminants associated with historical injection activities. These samples will be analyzed and results submitted to the relevant regulatory agencies to confirm that environmental remediation standards have been met.</w:t>
      </w:r>
    </w:p>
    <w:p>
      <w:pPr>
        <w:pStyle w:val="Heading3"/>
      </w:pPr>
      <w:r>
        <w:t>Final Reporting</w:t>
      </w:r>
    </w:p>
    <w:p>
      <w:r>
        <w:t>Following the successful completion of well plugging and site remediation, a Plug and Abandonment Report will be submitted to the LDNR using Form UIC-24. This report will include details such as the depth and composition of each cement plug, the results of pressure testing, and any supporting logs or diagrams generated during the operation. The report will also include photographic documentation and post-operation site descriptions as necessary. The operator will request that the well status be formally updated to "P&amp;A" in the SONRIS database maintained by the LDNR.</w:t>
      </w:r>
    </w:p>
    <w:p>
      <w:pPr>
        <w:pStyle w:val="Heading2"/>
      </w:pPr>
      <w:r>
        <w:t>5. Reversal Risk Assessment</w:t>
      </w:r>
    </w:p>
    <w:p>
      <w:pPr>
        <w:pStyle w:val="IntenseQuote"/>
      </w:pPr>
      <w:r>
        <w:t>Source: Section B – "Reversals" (project-wide reversal risk assessment; the PDD does not split this by injection site)</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Reversals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shd w:val="clear" w:fill="f2f2f2"/>
          </w:tcPr>
          <w:p>
            <w:r>
              <w:rPr>
                <w:i/>
              </w:rPr>
              <w:t>Please complete a reversal risk assessment for your Project, including consideration of the guidance in the Risk of Reversal Questionnaire below.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Overall risk of reversal (based on risk reversal questionnaire score; please select one):</w:t>
            </w:r>
          </w:p>
          <w:p>
            <w:r>
              <w:t>Very low (0)</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use of pyrolysis oil significantly reduces the risk of methane production arising from anaerobic decomposition of organic materials. Because pyrolysis is a reaction that occurs in a high-heat, low oxygen environment, the oil does not contain compounds that would support the microbial life required for anaerobic decay. This is confirmed by a peer-reviewed chemical characterization of pyrolysis bio-oil from multiple feedstocks (Negahdar et al., 2016) and a specific analysis of pyrolysis oil commissioned by Charm that are included in the supporting documents for this PDD</w:t>
            </w:r>
          </w:p>
        </w:tc>
      </w:tr>
    </w:tbl>
    <w:p/>
    <w:p>
      <w:pPr>
        <w:pStyle w:val="Heading3"/>
      </w:pPr>
      <w:r>
        <w:t>Risk of Reversal Questionnaire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Question</w:t>
            </w:r>
          </w:p>
        </w:tc>
        <w:tc>
          <w:tcPr>
            <w:tcW w:type="dxa" w:w="1728"/>
          </w:tcPr>
          <w:p>
            <w:r>
              <w:t>If answered “Yes”</w:t>
            </w:r>
          </w:p>
        </w:tc>
        <w:tc>
          <w:tcPr>
            <w:tcW w:type="dxa" w:w="1728"/>
          </w:tcPr>
          <w:p>
            <w:r>
              <w:t>If answered “No”</w:t>
            </w:r>
          </w:p>
        </w:tc>
        <w:tc>
          <w:tcPr>
            <w:tcW w:type="dxa" w:w="1728"/>
          </w:tcPr>
          <w:p>
            <w:r>
              <w:t>Response</w:t>
            </w:r>
          </w:p>
        </w:tc>
      </w:tr>
      <w:tr>
        <w:tc>
          <w:tcPr>
            <w:tcW w:type="dxa" w:w="1728"/>
          </w:tcPr>
          <w:p>
            <w:r>
              <w:t>1</w:t>
            </w:r>
          </w:p>
        </w:tc>
        <w:tc>
          <w:tcPr>
            <w:tcW w:type="dxa" w:w="1728"/>
          </w:tcPr>
          <w:p>
            <w:r>
              <w:t>Is a reversal directly observable with a physical or chemical measurement as opposed to a modeled result?</w:t>
            </w:r>
          </w:p>
        </w:tc>
        <w:tc>
          <w:tcPr>
            <w:tcW w:type="dxa" w:w="1728"/>
          </w:tcPr>
          <w:p>
            <w:r>
              <w:t>Proceed to questions 2-8</w:t>
            </w:r>
          </w:p>
        </w:tc>
        <w:tc>
          <w:tcPr>
            <w:tcW w:type="dxa" w:w="1728"/>
          </w:tcPr>
          <w:p>
            <w:r>
              <w:t>Proceed to questions 7-8</w:t>
            </w:r>
          </w:p>
        </w:tc>
        <w:tc>
          <w:tcPr>
            <w:tcW w:type="dxa" w:w="1728"/>
          </w:tcPr>
          <w:p>
            <w:r>
              <w:t>Yes</w:t>
            </w:r>
          </w:p>
        </w:tc>
      </w:tr>
      <w:tr>
        <w:tc>
          <w:tcPr>
            <w:tcW w:type="dxa" w:w="1728"/>
          </w:tcPr>
          <w:p>
            <w:r>
              <w:t>2</w:t>
            </w:r>
          </w:p>
        </w:tc>
        <w:tc>
          <w:tcPr>
            <w:tcW w:type="dxa" w:w="1728"/>
          </w:tcPr>
          <w:p>
            <w:r>
              <w:t>Is the carbon being stored in a closed or impermeable system? (e.g., salt cavern)</w:t>
            </w:r>
          </w:p>
        </w:tc>
        <w:tc>
          <w:tcPr>
            <w:tcW w:type="dxa" w:w="1728"/>
          </w:tcPr>
          <w:p>
            <w:r>
              <w:t>Proceed to questions 10-11</w:t>
            </w:r>
          </w:p>
        </w:tc>
        <w:tc>
          <w:tcPr>
            <w:tcW w:type="dxa" w:w="1728"/>
          </w:tcPr>
          <w:p>
            <w:r>
              <w:t>Proceed to questions 3-11</w:t>
            </w:r>
          </w:p>
        </w:tc>
        <w:tc>
          <w:tcPr>
            <w:tcW w:type="dxa" w:w="1728"/>
          </w:tcPr>
          <w:p>
            <w:r>
              <w:t>Yes</w:t>
            </w:r>
          </w:p>
        </w:tc>
      </w:tr>
      <w:tr>
        <w:tc>
          <w:tcPr>
            <w:tcW w:type="dxa" w:w="1728"/>
          </w:tcPr>
          <w:p>
            <w:r>
              <w:t>3</w:t>
            </w:r>
          </w:p>
        </w:tc>
        <w:tc>
          <w:tcPr>
            <w:tcW w:type="dxa" w:w="1728"/>
          </w:tcPr>
          <w:p>
            <w:r>
              <w:t>Is the carbon being stored organic?</w:t>
            </w:r>
          </w:p>
        </w:tc>
        <w:tc>
          <w:tcPr>
            <w:tcW w:type="dxa" w:w="1728"/>
          </w:tcPr>
          <w:p>
            <w:r>
              <w:t>Add 1 to Risk Score</w:t>
            </w:r>
          </w:p>
        </w:tc>
        <w:tc>
          <w:tcPr>
            <w:tcW w:type="dxa" w:w="1728"/>
          </w:tcPr>
          <w:p>
            <w:r/>
          </w:p>
        </w:tc>
        <w:tc>
          <w:tcPr>
            <w:tcW w:type="dxa" w:w="1728"/>
          </w:tcPr>
          <w:p>
            <w:r>
              <w:t>N/A</w:t>
            </w:r>
          </w:p>
        </w:tc>
      </w:tr>
      <w:tr>
        <w:tc>
          <w:tcPr>
            <w:tcW w:type="dxa" w:w="1728"/>
          </w:tcPr>
          <w:p>
            <w:r>
              <w:t>4</w:t>
            </w:r>
          </w:p>
        </w:tc>
        <w:tc>
          <w:tcPr>
            <w:tcW w:type="dxa" w:w="1728"/>
          </w:tcPr>
          <w:p>
            <w:r>
              <w:t>Does scientific consensus suggest that the carbon storage reservoir has a less than 10,000 year durability?</w:t>
            </w:r>
          </w:p>
        </w:tc>
        <w:tc>
          <w:tcPr>
            <w:tcW w:type="dxa" w:w="1728"/>
          </w:tcPr>
          <w:p>
            <w:r>
              <w:t>Add 1 to Risk Score</w:t>
            </w:r>
          </w:p>
        </w:tc>
        <w:tc>
          <w:tcPr>
            <w:tcW w:type="dxa" w:w="1728"/>
          </w:tcPr>
          <w:p>
            <w:r/>
          </w:p>
        </w:tc>
        <w:tc>
          <w:tcPr>
            <w:tcW w:type="dxa" w:w="1728"/>
          </w:tcPr>
          <w:p>
            <w:r>
              <w:t>N/A</w:t>
            </w:r>
          </w:p>
        </w:tc>
      </w:tr>
      <w:tr>
        <w:tc>
          <w:tcPr>
            <w:tcW w:type="dxa" w:w="1728"/>
          </w:tcPr>
          <w:p>
            <w:r>
              <w:t>5</w:t>
            </w:r>
          </w:p>
        </w:tc>
        <w:tc>
          <w:tcPr>
            <w:tcW w:type="dxa" w:w="1728"/>
          </w:tcPr>
          <w:p>
            <w:r>
              <w:t>Is methane production a Project risk?</w:t>
            </w:r>
          </w:p>
        </w:tc>
        <w:tc>
          <w:tcPr>
            <w:tcW w:type="dxa" w:w="1728"/>
          </w:tcPr>
          <w:p>
            <w:r>
              <w:t>Add 1 to Risk Score</w:t>
            </w:r>
          </w:p>
        </w:tc>
        <w:tc>
          <w:tcPr>
            <w:tcW w:type="dxa" w:w="1728"/>
          </w:tcPr>
          <w:p>
            <w:r/>
          </w:p>
        </w:tc>
        <w:tc>
          <w:tcPr>
            <w:tcW w:type="dxa" w:w="1728"/>
          </w:tcPr>
          <w:p>
            <w:r>
              <w:t>N/A</w:t>
            </w:r>
          </w:p>
        </w:tc>
      </w:tr>
      <w:tr>
        <w:tc>
          <w:tcPr>
            <w:tcW w:type="dxa" w:w="1728"/>
          </w:tcPr>
          <w:p>
            <w:r>
              <w:t>6</w:t>
            </w:r>
          </w:p>
        </w:tc>
        <w:tc>
          <w:tcPr>
            <w:tcW w:type="dxa" w:w="1728"/>
          </w:tcPr>
          <w:p>
            <w:r>
              <w:t>Does this approach have a material risk of reversal due to natural disasters including, but not limited to, floods, storms, earthquakes, fires, etc.?</w:t>
            </w:r>
          </w:p>
        </w:tc>
        <w:tc>
          <w:tcPr>
            <w:tcW w:type="dxa" w:w="1728"/>
          </w:tcPr>
          <w:p>
            <w:r>
              <w:t>Add 1 to Risk Score</w:t>
            </w:r>
          </w:p>
        </w:tc>
        <w:tc>
          <w:tcPr>
            <w:tcW w:type="dxa" w:w="1728"/>
          </w:tcPr>
          <w:p>
            <w:r/>
          </w:p>
        </w:tc>
        <w:tc>
          <w:tcPr>
            <w:tcW w:type="dxa" w:w="1728"/>
          </w:tcPr>
          <w:p>
            <w:r>
              <w:t>N/A</w:t>
            </w:r>
          </w:p>
        </w:tc>
      </w:tr>
      <w:tr>
        <w:tc>
          <w:tcPr>
            <w:tcW w:type="dxa" w:w="1728"/>
          </w:tcPr>
          <w:p>
            <w:r>
              <w:t>7</w:t>
            </w:r>
          </w:p>
        </w:tc>
        <w:tc>
          <w:tcPr>
            <w:tcW w:type="dxa" w:w="1728"/>
          </w:tcPr>
          <w:p>
            <w:r>
              <w:t>Does this approach have a material risk of reversal due to human-induced events from outside actors, such as change in farming practices, change in ownership and management of Project sites, or similar?</w:t>
            </w:r>
          </w:p>
        </w:tc>
        <w:tc>
          <w:tcPr>
            <w:tcW w:type="dxa" w:w="1728"/>
          </w:tcPr>
          <w:p>
            <w:r>
              <w:t>Add 1 to Risk Score</w:t>
            </w:r>
          </w:p>
        </w:tc>
        <w:tc>
          <w:tcPr>
            <w:tcW w:type="dxa" w:w="1728"/>
          </w:tcPr>
          <w:p>
            <w:r/>
          </w:p>
        </w:tc>
        <w:tc>
          <w:tcPr>
            <w:tcW w:type="dxa" w:w="1728"/>
          </w:tcPr>
          <w:p>
            <w:r>
              <w:t>N/A</w:t>
            </w:r>
          </w:p>
        </w:tc>
      </w:tr>
      <w:tr>
        <w:tc>
          <w:tcPr>
            <w:tcW w:type="dxa" w:w="1728"/>
          </w:tcPr>
          <w:p>
            <w:r>
              <w:t>8</w:t>
            </w:r>
          </w:p>
        </w:tc>
        <w:tc>
          <w:tcPr>
            <w:tcW w:type="dxa" w:w="1728"/>
          </w:tcPr>
          <w:p>
            <w:r>
              <w:t>[Applicable only for subsurface storage] Is the carbon being stored in the deep subsurface with multiple trapping mechanisms preventing reversals? (e.g., multiple confining layers, CO₂ dissolves or solidifies)</w:t>
            </w:r>
          </w:p>
        </w:tc>
        <w:tc>
          <w:tcPr>
            <w:tcW w:type="dxa" w:w="1728"/>
          </w:tcPr>
          <w:p>
            <w:r>
              <w:t>Minus 1 to risk (unless 0)</w:t>
            </w:r>
          </w:p>
        </w:tc>
        <w:tc>
          <w:tcPr>
            <w:tcW w:type="dxa" w:w="1728"/>
          </w:tcPr>
          <w:p>
            <w:r/>
          </w:p>
        </w:tc>
        <w:tc>
          <w:tcPr>
            <w:tcW w:type="dxa" w:w="1728"/>
          </w:tcPr>
          <w:p>
            <w:r>
              <w:t>N/A</w:t>
            </w:r>
          </w:p>
        </w:tc>
      </w:tr>
      <w:tr>
        <w:tc>
          <w:tcPr>
            <w:tcW w:type="dxa" w:w="1728"/>
          </w:tcPr>
          <w:p>
            <w:r>
              <w:t>9</w:t>
            </w:r>
          </w:p>
        </w:tc>
        <w:tc>
          <w:tcPr>
            <w:tcW w:type="dxa" w:w="1728"/>
          </w:tcPr>
          <w:p>
            <w:r>
              <w:t>Is there 10+ years of monitoring and/or lab data demonstrating low project risk?</w:t>
            </w:r>
          </w:p>
        </w:tc>
        <w:tc>
          <w:tcPr>
            <w:tcW w:type="dxa" w:w="1728"/>
          </w:tcPr>
          <w:p>
            <w:r>
              <w:t>Minus 1 to risk (unless 0)</w:t>
            </w:r>
          </w:p>
        </w:tc>
        <w:tc>
          <w:tcPr>
            <w:tcW w:type="dxa" w:w="1728"/>
          </w:tcPr>
          <w:p>
            <w:r/>
          </w:p>
        </w:tc>
        <w:tc>
          <w:tcPr>
            <w:tcW w:type="dxa" w:w="1728"/>
          </w:tcPr>
          <w:p>
            <w:r>
              <w:t>N/A</w:t>
            </w:r>
          </w:p>
        </w:tc>
      </w:tr>
      <w:tr>
        <w:tc>
          <w:tcPr>
            <w:tcW w:type="dxa" w:w="1728"/>
          </w:tcPr>
          <w:p>
            <w:r>
              <w:t>10</w:t>
            </w:r>
          </w:p>
        </w:tc>
        <w:tc>
          <w:tcPr>
            <w:tcW w:type="dxa" w:w="1728"/>
          </w:tcPr>
          <w:p>
            <w:r>
              <w:t>Does this pathway have a documented history of reversals?</w:t>
            </w:r>
          </w:p>
        </w:tc>
        <w:tc>
          <w:tcPr>
            <w:tcW w:type="dxa" w:w="1728"/>
          </w:tcPr>
          <w:p>
            <w:r>
              <w:t>Please consider the frequency and severity of previous reversals, and the shared characteristics between documented reversals and the present project. For pathways with no documented history of reversals, add 0 to the Risk Score. For pathways with a history of frequent reversal, add 2 to Risk Score. For pathways with a limited history of reversals, add 1 to Risk Score.</w:t>
            </w:r>
          </w:p>
        </w:tc>
        <w:tc>
          <w:tcPr>
            <w:tcW w:type="dxa" w:w="1728"/>
          </w:tcPr>
          <w:p>
            <w:r/>
          </w:p>
        </w:tc>
        <w:tc>
          <w:tcPr>
            <w:tcW w:type="dxa" w:w="1728"/>
          </w:tcPr>
          <w:p>
            <w:r>
              <w:t>0</w:t>
            </w:r>
          </w:p>
        </w:tc>
      </w:tr>
      <w:tr>
        <w:tc>
          <w:tcPr>
            <w:tcW w:type="dxa" w:w="1728"/>
          </w:tcPr>
          <w:p>
            <w:r>
              <w:t>11</w:t>
            </w:r>
          </w:p>
        </w:tc>
        <w:tc>
          <w:tcPr>
            <w:tcW w:type="dxa" w:w="1728"/>
          </w:tcPr>
          <w:p>
            <w:r>
              <w:t>Is there one or more Project-specific factors that merit a high risk level?</w:t>
            </w:r>
          </w:p>
        </w:tc>
        <w:tc>
          <w:tcPr>
            <w:tcW w:type="dxa" w:w="1728"/>
          </w:tcPr>
          <w:p>
            <w:r>
              <w:t>Please consider the number and severity of risks identified. If one low or  medium severity risk is identified, add 1 to Risk Score. If multiple risks are identified, or if any high severity risks are identified, add 2 to Risk Score</w:t>
            </w:r>
          </w:p>
        </w:tc>
        <w:tc>
          <w:tcPr>
            <w:tcW w:type="dxa" w:w="1728"/>
          </w:tcPr>
          <w:p>
            <w:r/>
          </w:p>
        </w:tc>
        <w:tc>
          <w:tcPr>
            <w:tcW w:type="dxa" w:w="1728"/>
          </w:tcPr>
          <w:p>
            <w:r>
              <w:t>0</w:t>
            </w:r>
          </w:p>
        </w:tc>
      </w:tr>
      <w:tr>
        <w:tc>
          <w:tcPr>
            <w:tcW w:type="dxa" w:w="1728"/>
          </w:tcPr>
          <w:p>
            <w:r>
              <w:t>Total Risk Score</w:t>
            </w:r>
          </w:p>
        </w:tc>
        <w:tc>
          <w:tcPr>
            <w:tcW w:type="dxa" w:w="1728"/>
          </w:tcPr>
          <w:p>
            <w:r>
              <w:t>Total Risk Score</w:t>
            </w:r>
          </w:p>
        </w:tc>
        <w:tc>
          <w:tcPr>
            <w:tcW w:type="dxa" w:w="1728"/>
          </w:tcPr>
          <w:p>
            <w:r>
              <w:t>Total Risk Score</w:t>
            </w:r>
          </w:p>
        </w:tc>
        <w:tc>
          <w:tcPr>
            <w:tcW w:type="dxa" w:w="1728"/>
          </w:tcPr>
          <w:p>
            <w:r>
              <w:t>Total Risk Score</w:t>
            </w:r>
          </w:p>
        </w:tc>
        <w:tc>
          <w:tcPr>
            <w:tcW w:type="dxa" w:w="1728"/>
          </w:tcPr>
          <w:p>
            <w:r>
              <w:t>0</w:t>
            </w:r>
          </w:p>
        </w:tc>
      </w:tr>
    </w:tbl>
    <w:p>
      <w:pPr>
        <w:pStyle w:val="Heading2"/>
      </w:pPr>
      <w:r>
        <w:t>6. Environmental and Social Impacts</w:t>
      </w:r>
    </w:p>
    <w:p>
      <w:pPr>
        <w:pStyle w:val="IntenseQuote"/>
      </w:pPr>
      <w:r>
        <w:t>Source: Section D – "Analysis of environmental and social impacts" (Louisiana/Basco 6-specific portions only; Charm/AECN feedstock-production portions of this same field are covered under Tier 1: Production Facilities)</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Resource efficiency and pollution prevention — Louisiana Bio-Oil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All pre-injection studies and analyses have been conducted as required to secure Class V well permitting from LDENR, ensuring that risks to the local environment and natural resources have been assessed and controlled to the satisfaction of local regulatory authorities. This includes mechanical integrity pressure testing and isolation from USDWs. In addition, the site layout has been designed to ensure that any spilled material drains away from nearby water features. As well as avoiding adverse environmental effects, Charm has a thorough risk management program in place to avoid or mitigate possible future environmental effects that may be encountered during construction and operation.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Assessments required by LDENR permitting did not yield any known or published geological issues such as subsurface seismic activity or faulting in the area which could pose a risk of migration of injectate beyond the approved injection interval.</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is located off Louisiana State Highway 115, with an existing access road running from the highway to the well location. This means that equipment needed to convert the Basco 6 Well can travel over existing surface roads, without the need for additional road improvements or construction. Likewise, the existence of a facility road means that Charm will not need to construct additional site access. Bio-oil will be transported via truck accessing the well location via Highway 115 with truck shipments of no greater load weight than permitted by DOT law.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site includes a large, improved rock area and well pad. This pad and site boundaries are of sufficient size to allow much of the new construction (including the aforementioned bio-oil receiving, circulation, and pump systems) to be performed within the existing footprint. The land immediately around the well will be used as part of Charm’s operating pad, as is expected with any operation that needs access to a well.</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 small portion of the land adjacent to the well (less than .25 acres) was converted back to cropland when the well became inactive, however injection and maintenance operations will require Charm to extend the pad to its original footprint. The existing site pad does reduce the amount of work needed to bring the site back to operating condition.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planned operations require minimal energy and water resources, creating a small footprint to sustain and scale operations.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 significant advantage of Charm’s project design and methodology is it not only minimizes environmental impacts by repurposing existing orphaned oil and gas wells, but ultimately has a positive impact by committing to properly decommissioning and remediating the site upon the project’s completion.</w:t>
            </w:r>
          </w:p>
        </w:tc>
      </w:tr>
    </w:tbl>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Biodiversity conservation — Bio-Oil Injection – LA</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Only minimal costs and no environmental consequences are anticipated to bring the Basco 6 well online for active injection. Charm’s planned operations require minimal energy and water resources, creating a small footprint to sustain and scale operations. Additionally, the well site will not impact any wetland areas. Furthermore, the well facility is located at least 0.5 miles from any apparent occupied residential structures. There are no apparent or documented historically or culturally significant areas found within at least 0.5 miles of the well location. The well location is not subject to frequent flooding and is surrounded to the north, west and south by agricultural land.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Bayou Cocodrie is located to the north at a distance of approximately 0.5 miles away at its nearest proximity to the injection well. The portion of Bayou Cocodrie at this approximate distance from the injection well is listed with the Louisiana Department of Wildlife and Fisheries as a Designated Scenic Waterway. As evidenced by site reconnaissance and available online imagery, there is no apparent location at water or ground level on Bayou Cocodrie where the injection well and well pad location is visible to the naked eye, thus no visual aesthetic impact from the location of the injection well is expected. There are no expected impacts from any potential bio-oil or other surface spillage from operations at the Charm injection well facility on Bayou Cocodrie. Any spilled material will be captured by above ground containment systems and removed from the surface in a timely fashion. Any ambient surface or stormwater generally drains to the south southeast from the Basco 6 Well, away from Bayou Cocodrie. Highway 115 is located between Bayou Cocodrie and the site, providing a further barrier to any potential runoff.</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Finally, the Basco 6 Well is not in the vicinity (1 mile) of known critical habitat, as confirmed from the US Fish and Wildlife Service IPaC Information for Planning and Consultation search tool.</w:t>
            </w:r>
          </w:p>
        </w:tc>
      </w:tr>
    </w:tbl>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Land acquisition and involuntary resettlement (project-wide answer; Basco 6-specific sentence highlighted)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 leases and operates the Miniforge pyrolysis facility and nearby biomass storage site in Fort Lupton, Co and the Minifinery site in El Dorado, KS where bio oil is pre-processed to ensure suitability for injection. The footprints and usage profiles of these sites are not materially changed due to hosting Charm operations.  No known involuntary resettlement has occurred due to the development of these sites.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is leased through a private landowner whose family has owned the property for at least three generations.</w:t>
            </w:r>
          </w:p>
        </w:tc>
      </w:tr>
    </w:tbl>
    <w:p/>
    <w:p>
      <w:pPr>
        <w:pStyle w:val="Heading2"/>
      </w:pPr>
      <w:r>
        <w:t>7. Stakeholder Input Process</w:t>
      </w:r>
    </w:p>
    <w:p>
      <w:pPr>
        <w:pStyle w:val="IntenseQuote"/>
      </w:pPr>
      <w:r>
        <w:t>Source: Section E – "Stakeholder Input Process Summary" (Louisiana Injection portion only)</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Stakeholder Input Process Summary — Louisiana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In early 2024 Charm started stakeholder engagement in Central Louisiana by arranging meetings with local representatives and Policy Jury members in Evangeline and Rapides Parish, in addition to hosting a presentation for the Evangeline Parish Chamber of Commerce. In summer 2024 Charm officially joined the Evangeline Parish Chamber of Commerce and has become a regular attendee for local meetings and workshops. Charm’s first public outreach meeting is planned for spring 2025, however over the past year Charm has engaged with conservation and forestry institutions such as the Louisiana Fish &amp; Wildlife Foundation, academic institutions such as South Louisiana Community College (SOLACC), LSU’s Department of Petroleum Engineering, regional economic development groups such as Louisiana Central and GNO, Inc, as well as workforce development and transition groups such as Acadiana Workforce Solutions and True Transitions. Many of the learnings collected from these conversations include:</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Broad concern about high numbers of young people leaving home and not returning because there are few local opportunities for gainful employment</w:t>
            </w:r>
          </w:p>
          <w:p>
            <w:r>
              <w:t>Citizens want safety regulations in place, especially around injection (ex. Ensure protection of aquifers and soil)</w:t>
            </w:r>
          </w:p>
          <w:p>
            <w:r>
              <w:t>Transportation is often a challenge when maintaining a consistent workforce in rural areas (workers sometimes don’t have a car or a license)</w:t>
            </w:r>
          </w:p>
          <w:p>
            <w:r>
              <w:t>The co-benefits of Charm’s operations are very appealing to a broad variety of stakeholders who are otherwise neutral about climate initiatives (farmers, landowners, workforce development institutions, economic development groups, and beyond)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injection permitting process includes a public comment period, during which any local citizen can submit questions or concerns which must be addressed by LDENR. Charm has requested a public outreach meeting as part of this process in order to address any public concerns in a timely manner. In preparation for this and other public outreach events, common questions and concerns are collected in Charm’s Louisiana Stakeholder Mapping document. This document captures questions and readily shareable responses, especially those around health and safety. Charm continues to present to local municipal and community entities in Evangeline Parish and beyond.</w:t>
            </w:r>
          </w:p>
        </w:tc>
      </w:tr>
    </w:tbl>
    <w:p/>
    <w:p>
      <w:pPr>
        <w:pStyle w:val="Heading2"/>
      </w:pPr>
      <w:r>
        <w:t>8. Grievance Mechanism</w:t>
      </w:r>
    </w:p>
    <w:p>
      <w:pPr>
        <w:pStyle w:val="IntenseQuote"/>
      </w:pPr>
      <w:r>
        <w:t>Source: Section E – "Grievance Mechanism" (Louisiana Injection portion only)</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Grievance Mechanism — Louisiana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 Industrial has publicly available phone numbers on our Google listing. Both of these phone lines connect directly to Charm’s Community Engagement Manager who can either address concerns directly or connect the caller with the appropriate Charm staff members. Charm’s contact information is also available on the Evangeline Chamber of Commerce Member Portal (public website) as well as the Fort Lupton Chamber of Commerce website.</w:t>
            </w:r>
          </w:p>
        </w:tc>
      </w:tr>
    </w:tbl>
    <w:p/>
    <w:p>
      <w:pPr>
        <w:pStyle w:val="Heading1"/>
      </w:pPr>
      <w:r>
        <w:t>Vaulted (Hutchinson, KS) — Non-Operating Site</w:t>
      </w:r>
    </w:p>
    <w:p>
      <w:pPr>
        <w:pStyle w:val="Heading3"/>
      </w:pPr>
      <w:r>
        <w:t>Storage Well Overview</w:t>
      </w:r>
    </w:p>
    <w:tbl>
      <w:tblPr>
        <w:tblW w:type="auto" w:w="0"/>
        <w:tblLook w:firstColumn="1" w:firstRow="1" w:lastColumn="0" w:lastRow="0" w:noHBand="0" w:noVBand="1" w:val="04A0"/>
      </w:tblPr>
      <w:tblGrid>
        <w:gridCol w:w="8640"/>
      </w:tblGrid>
      <w:tr>
        <w:tc>
          <w:tcPr>
            <w:tcW w:type="dxa" w:w="8640"/>
          </w:tcPr>
          <w:p>
            <w:r>
              <w:t>[Storage Module] Storage well overview</w:t>
            </w:r>
          </w:p>
        </w:tc>
      </w:tr>
      <w:tr>
        <w:tc>
          <w:tcPr>
            <w:tcW w:type="dxa" w:w="8640"/>
          </w:tcPr>
          <w:p>
            <w:r>
              <w:t>Please describe the storage well used and complete the following information.</w:t>
            </w:r>
          </w:p>
        </w:tc>
      </w:tr>
      <w:tr>
        <w:tc>
          <w:tcPr>
            <w:tcW w:type="dxa" w:w="8640"/>
          </w:tcPr>
          <w:p>
            <w:r>
              <w:t>KS Charm is emplacing bio oil at Vaulted’s Geat Plains storage well for this project. For that reason, what follows in this section is a reproduction of the Storage Well Overview from their PDD: Storage well description: “Vaulted operates a built and permitted injection well site in Hutchinson, Kansas. This site is a network of 60 salt caverns, with the total capacity to hold 2-3 million metric tons of organic waste. The wells are permitted under Class UIC V well permits by KDHE.”</w:t>
            </w:r>
          </w:p>
        </w:tc>
      </w:tr>
      <w:tr>
        <w:tc>
          <w:tcPr>
            <w:tcW w:type="dxa" w:w="8640"/>
          </w:tcPr>
          <w:p>
            <w:r>
              <w:t>Storage well location (Address / GPS coordinates): 37.966, -97.941</w:t>
            </w:r>
          </w:p>
          <w:p>
            <w:r>
              <w:t>EPA Well Class: V</w:t>
            </w:r>
          </w:p>
          <w:p>
            <w:r>
              <w:t>Permit number: KS-05-155-003</w:t>
            </w:r>
          </w:p>
          <w:p>
            <w:r>
              <w:t>Permitting authority: Kansas Department of Health and Environment (KDHE)</w:t>
            </w:r>
          </w:p>
          <w:p>
            <w:r>
              <w:t>Permit validity start date: 2022/08/02</w:t>
            </w:r>
          </w:p>
          <w:p>
            <w:r>
              <w:t>Permit validity end date: 2027/08/02</w:t>
            </w:r>
          </w:p>
          <w:p>
            <w:r>
              <w:t>Well storage capacity (total): 2-3M metric tons of wet organic waste</w:t>
            </w:r>
          </w:p>
          <w:p>
            <w:r>
              <w:t>Well storage capacity (used): &lt;10,000 metric tons of wet organic waste</w:t>
            </w:r>
          </w:p>
          <w:p>
            <w:r>
              <w:t>Well storage capacity (available): 2-3M metric tons of wet organic waste</w:t>
            </w:r>
          </w:p>
        </w:tc>
      </w:tr>
    </w:tbl>
    <w:p>
      <w:pPr>
        <w:pStyle w:val="Heading3"/>
      </w:pPr>
      <w:r>
        <w:t>Durability Assessment</w:t>
      </w:r>
    </w:p>
    <w:p w:rsidR="00000000" w:rsidDel="00000000" w:rsidP="00000000" w:rsidRDefault="00000000" w:rsidRPr="00000000" w14:paraId="00000213">
      <w:pPr>
        <w:widowControl w:val="0"/>
        <w:rPr/>
      </w:pPr>
      <w:r w:rsidDel="00000000" w:rsidR="00000000" w:rsidRPr="00000000">
        <w:rPr>
          <w:rtl w:val="0"/>
        </w:rPr>
        <w:t xml:space="preserve">Vaulted has completed their own PDD under the Isometric Biomass Geological Storage Protocol and their durability assessment is copied below:</w:t>
      </w:r>
    </w:p>
    <w:p>
      <w:pPr/>
      <w:r>
        <w:t>“Vaulted’s Great Plains Facility stores the waste in sealed salt caverns 500+ feet underground for permanent (10,000+ year) geologic storage. Neither leakage nor re- emissions of the waste and its carbon content is expected. Durability is expected to exceed much further than 10,000 years. This expectation is based on a combination of direct measurement, and modeling. Vaulted employs a monitoring program both during and post operation which includes regular testing for mechanical integrity of the wells and cavern integrity. This monitoring program enables the confirmation that the cavern is stable and does not have any subsurface leak pathways. This testing is done when a new cavern is opened, during pre-injection, injection, and post-injection operations. Vaulted monitors the displaced brine returned from the cavern for any waste, which is then filtered out and recycled back into the injection stream. The Great Plains Facility employs slurry injection into salt caverns. Salt is an impermeable formation, thus making it an effective method for securely storing waste materials without risk of leakage into surrounding environments. The caverns at the facility exist at depths where waste is no longer buoyant; if the wells have integrity (confirmed using the same techniques as described above) and are property plugged, waste is permanently sequestered. Safe and durable sequestration of waste in salt caverns has been confirmed in literature, including here, here, and here. To further reduce any risks, Vaulted injects at minimal pressure (80 psig at the wellhead, which maintains total pressure – injection plus hydrostatic – below 0.75 psi / ft to the cavern top). This pressure threshold maintains cavern integrity (the triaxial stress capacity of salt is 1 psi/ft of depth). In addition to direct measurement, the broader literature models durability of Vaulted’s sequestration approach. Salt caverns have been identified in the literature as a viable location for permanent storage of CO2.”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92">
    <w:basedOn w:val="TableNormal"/>
    <w:tblPr>
      <w:tblStyleRowBandSize w:val="1"/>
      <w:tblStyleColBandSize w:val="1"/>
      <w:tblCellMar>
        <w:top w:w="0.0" w:type="dxa"/>
        <w:left w:w="108.0" w:type="dxa"/>
        <w:bottom w:w="0.0" w:type="dxa"/>
        <w:right w:w="108.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file/d/1r9fGwKvRNlkQYo-95oX_kXeV_fvn8xZQ/view?usp=drive_link" TargetMode="External"/><Relationship Id="rId10" Type="http://schemas.openxmlformats.org/officeDocument/2006/relationships/hyperlink" Target="https://drive.google.com/file/d/1lZzij_OCHWqH6HGE-_h0cTuyTSFBqnWc/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