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Charm Industrial Bio-Oil Geologic Storage + Range &amp; Plains Biochar Design Document — Production Facility</w:t>
      </w:r>
    </w:p>
    <w:p>
      <w:pPr>
        <w:pStyle w:val="Heading1"/>
      </w:pPr>
      <w:r>
        <w:t>AECN — AE Cote-Nord Canada Bioenergy Inc. (Port-Cartier, QC)</w:t>
      </w:r>
    </w:p>
    <w:p>
      <w:pPr>
        <w:pStyle w:val="Heading2"/>
      </w:pPr>
      <w:r>
        <w:t>1. Site Location</w:t>
      </w:r>
    </w:p>
    <w:p>
      <w:pPr/>
      <w:r>
        <w:t>Produits Forestiers Arbec S.E.N.C., 175 Bd du Portage des Mousses, Port-Cartier, QC G0W 1X0, Canada</w:t>
      </w:r>
    </w:p>
    <w:p>
      <w:pPr/>
      <w:r>
        <w:t>50.025323, -66.818910</w:t>
      </w:r>
    </w:p>
    <w:p>
      <w:pPr>
        <w:pStyle w:val="Heading2"/>
      </w:pPr>
      <w:r>
        <w:t>2. Facility Overview</w:t>
      </w:r>
    </w:p>
    <w:p>
      <w:pPr/>
      <w:r>
        <w:t>Charm offtakes finished bio-oil from AE Cote-Nord Canada Bioenergy Inc.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Arbec lumber mill, which provides the pyrolysis feedstock in the form of waste sawdust and shavings from lumber processing.</w:t>
      </w:r>
    </w:p>
    <w:p>
      <w:pPr/>
      <w:r>
        <w:t>The production of this waste is incidental to the production of wood boards for construction, which is the mill’s primary source of revenue. Absent an offtaker, the historical fate of the mill residue has been on-site piling, as is evidenced by the fact that the mill has already accumulated a large pile of sawdust that is years old. Piled, rotting wood waste is a source of both CO2 and methane emissions, with a significant global warming potential. By sequestering AECN bio oil, Charm enables AECN to divert more of this ongoing waste stream away from creating emissions, instead permanently sequestering the biogenic gasses underground and interrupting the emissions associated with the input biomass.</w:t>
      </w:r>
    </w:p>
    <w:p>
      <w:pPr>
        <w:pStyle w:val="Heading2"/>
      </w:pPr>
      <w:r>
        <w:t>3. Feedstock</w:t>
      </w:r>
    </w:p>
    <w:p>
      <w:pPr/>
      <w:r>
        <w:t>Feedstock sources for this facility are documented in Tier 1: Feedstock Sources.</w:t>
      </w:r>
    </w:p>
    <w:p>
      <w:pPr/>
      <w:r>
        <w:t>AECN’s pyrolysis plant is located next to the Arbec lumber mill, which provides the pyrolysis feedstock in the form of waste sawdust and shavings from lumber processing.</w:t>
      </w:r>
    </w:p>
    <w:p>
      <w:pPr>
        <w:pStyle w:val="Heading2"/>
      </w:pPr>
      <w:r>
        <w:t>4. Environmental and Social Impacts</w:t>
      </w:r>
    </w:p>
    <w:p>
      <w:pPr/>
      <w:r>
        <w:rPr>
          <w:b/>
        </w:rPr>
        <w:t>X</w:t>
      </w:r>
      <w:r>
        <w:tab/>
      </w:r>
      <w:r>
        <w:t>I acknowledge responsibility for reporting potential environmental and social impacts identified to Isometric and environmental regulators</w:t>
      </w:r>
    </w:p>
    <w:p>
      <w:pPr>
        <w:pStyle w:val="Heading3"/>
      </w:pPr>
      <w:r>
        <w:t>Resource efficiency and pollution prevention, including pollutant emissions to air, pollutant discharges to water, noise and vibration, generation of waste and release of hazardous materials, chemical pesticides and fertilizers.</w:t>
      </w:r>
    </w:p>
    <w:p>
      <w:pPr/>
      <w:r>
        <w:t>Above risks are applicable to this Project</w:t>
      </w:r>
    </w:p>
    <w:p>
      <w:pPr/>
      <w:r>
        <w:t>The primary environmental impacts upstream of injection are related to the biomass feedstock used for pyrolysis and the process of pyrolysis itself. AECN has gone to significant lengths to ensure that both the biomass feedstock and the pyrolysis process reflect their dedication to sustainability.</w:t>
      </w:r>
    </w:p>
    <w:p>
      <w:pPr/>
      <w:r>
        <w:t>All of the wood used as pyrolysis feedstock is harvested from provincially-owned forests in accordance with rights granted under the Quebec Provincial Management Plan (PMP). The PMP is explicitly guided by “sustainable forest management objectives” which dictate the bounds of allowable harvest such that the ecological integrity of provincial forestland is maintained over time.</w:t>
      </w:r>
    </w:p>
    <w:p>
      <w:pPr/>
      <w:r>
        <w:t>In addition, the Bureau de Normalisation du Québec, an official certification organization accredited by the Standards Council of Canada, has granted the biomass harvester a certificate of compliance with the SFI Forest Management Standard.</w:t>
      </w:r>
    </w:p>
    <w:p>
      <w:pPr/>
      <w:r>
        <w:t>The pyrolysis process itself has also been engineered with sustainability in mind. The facility construction was financed in part by Sustainable Development Technology Canada and Department of Natural Resources Canada. The facility is also certified by SGS Germany as compliant with the EU International Sustainability and Carbon Certification standard and the requirements of Renewable Energy Directive (RED) II.</w:t>
      </w:r>
    </w:p>
    <w:p>
      <w:pPr>
        <w:pStyle w:val="Heading3"/>
      </w:pPr>
      <w:r>
        <w:t>Biodiversity conservation and sustainable management of living natural resources, including terrestrial &amp; marine biodiversity and ecosystems, protecting habitats of rare &amp; endangered species, avoiding conversion of natural forests, grasslands or wetlands, minimizing soil degradation or erosion, minimizing water consumption and stress.</w:t>
      </w:r>
    </w:p>
    <w:p>
      <w:pPr/>
      <w:r>
        <w:t>Above risks are applicable to this Project</w:t>
      </w:r>
    </w:p>
    <w:p>
      <w:pPr/>
      <w:r>
        <w:t>As discussed above, all biomass sourcing occurs under the auspices of the Quebec Provincial Management Plan for forests and is certified by SFI. Both the PMP and the SFI Standard require that the natural resources of forestland are managed sustainably with respect to both plant and animal life.</w:t>
      </w:r>
    </w:p>
    <w:p>
      <w:pPr>
        <w:pStyle w:val="Heading3"/>
      </w:pPr>
      <w:r>
        <w:t>Labor rights and working conditions, including providing safe &amp; healthy working conditions for employees, fair treatment and equal opportunities in your organization; considerations of prevention of forced labor, child labour or trafficked persons protecting workers employed by third parties.</w:t>
      </w:r>
    </w:p>
    <w:p>
      <w:pPr/>
      <w:r>
        <w:t>Above risks are applicable to this Project</w:t>
      </w:r>
    </w:p>
    <w:p>
      <w:pPr/>
      <w:r>
        <w:t>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pPr>
        <w:pStyle w:val="Heading3"/>
      </w:pPr>
      <w:r>
        <w:t>Land acquisition and involuntary resettlement in the context of your deployment site selection</w:t>
      </w:r>
    </w:p>
    <w:p>
      <w:pPr/>
      <w:r>
        <w:t>Above risks are applicable to this Project</w:t>
      </w:r>
    </w:p>
    <w:p>
      <w:pPr/>
      <w:r>
        <w:t>No facility-specific statement in PDD v1.12; see Tier 0, Section D.</w:t>
      </w:r>
    </w:p>
    <w:p>
      <w:pPr>
        <w:pStyle w:val="Heading3"/>
      </w:pPr>
      <w:r>
        <w:t>Environmental and social justice, Indigenous Peoples, Local Communities, cultural heritage, human rights and gender equality (equal opportunities and pay), as it relates specifically to deployment site selection.</w:t>
      </w:r>
    </w:p>
    <w:p>
      <w:pPr/>
      <w:r>
        <w:t>Above risks are applicable to this Project</w:t>
      </w:r>
    </w:p>
    <w:p>
      <w:pPr/>
      <w:r>
        <w:t>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p>
      <w:pPr>
        <w:pStyle w:val="Heading2"/>
      </w:pPr>
      <w:r>
        <w:t>5. Stakeholder Input Process</w:t>
      </w:r>
    </w:p>
    <w:p>
      <w:pPr/>
      <w:r>
        <w:t>No facility-specific statement in PDD v1.12; see Tier 0, Section E.</w:t>
      </w:r>
    </w:p>
    <w:p>
      <w:pPr>
        <w:pStyle w:val="Heading2"/>
      </w:pPr>
      <w:r>
        <w:t>6. Grievance Mechanism</w:t>
      </w:r>
    </w:p>
    <w:p>
      <w:pPr/>
      <w:r>
        <w:t>No facility-specific statement in PDD v1.12; see Tier 0, Section E.</w:t>
      </w:r>
    </w:p>
    <w:p>
      <w:pPr>
        <w:pStyle w:val="Heading2"/>
      </w:pPr>
      <w:r>
        <w:t>7. Emissions Methodology</w:t>
      </w:r>
    </w:p>
    <w:p>
      <w:pPr/>
      <w:r>
        <w:t>Emissions from this facility are quantified as set out in the GHG Statement Emissions Methodology sheet, tab '3. Biomass Conv &amp; Pyro. - AECN'.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Production Facility — AECN Port-Cartier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