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C06776" w14:textId="77777777" w:rsidR="001861C5" w:rsidRDefault="00000000">
      <w:pPr>
        <w:spacing w:after="40"/>
      </w:pPr>
      <w:r>
        <w:rPr>
          <w:b/>
          <w:bCs/>
          <w:color w:val="000000"/>
          <w:sz w:val="32"/>
          <w:szCs w:val="32"/>
        </w:rPr>
        <w:t>Notice: AECN Feedstock Configuration Change</w:t>
      </w:r>
    </w:p>
    <w:p w14:paraId="354DCC98" w14:textId="77777777" w:rsidR="001861C5" w:rsidRDefault="00000000">
      <w:pPr>
        <w:spacing w:after="40"/>
      </w:pPr>
      <w:r>
        <w:rPr>
          <w:sz w:val="22"/>
          <w:szCs w:val="22"/>
        </w:rPr>
        <w:t>Date: September 22, 2026</w:t>
      </w:r>
    </w:p>
    <w:p w14:paraId="04AEBBF0" w14:textId="77777777" w:rsidR="001861C5" w:rsidRDefault="00000000">
      <w:pPr>
        <w:spacing w:after="40"/>
      </w:pPr>
      <w:r>
        <w:rPr>
          <w:sz w:val="22"/>
          <w:szCs w:val="22"/>
        </w:rPr>
        <w:t>From: Max Lavine, Charm Industrial</w:t>
      </w:r>
    </w:p>
    <w:p w14:paraId="3E6C9C10" w14:textId="77777777" w:rsidR="001861C5" w:rsidRDefault="00000000">
      <w:pPr>
        <w:spacing w:after="240"/>
      </w:pPr>
      <w:r>
        <w:rPr>
          <w:sz w:val="22"/>
          <w:szCs w:val="22"/>
        </w:rPr>
        <w:t>To: Isometric</w:t>
      </w:r>
    </w:p>
    <w:p w14:paraId="67ABDC4A" w14:textId="77777777" w:rsidR="001861C5" w:rsidRDefault="00000000">
      <w:pPr>
        <w:pStyle w:val="Heading1"/>
        <w:spacing w:before="240" w:after="120"/>
      </w:pPr>
      <w:r>
        <w:rPr>
          <w:b/>
          <w:bCs/>
          <w:color w:val="000000"/>
          <w:sz w:val="26"/>
          <w:szCs w:val="26"/>
        </w:rPr>
        <w:t>Purpose</w:t>
      </w:r>
    </w:p>
    <w:p w14:paraId="472EF1DA" w14:textId="77777777" w:rsidR="001861C5" w:rsidRDefault="00000000">
      <w:pPr>
        <w:spacing w:after="160"/>
      </w:pPr>
      <w:r>
        <w:rPr>
          <w:sz w:val="22"/>
          <w:szCs w:val="22"/>
        </w:rPr>
        <w:t xml:space="preserve">This notice covers a change to sawmill-residue feedstock sourcing for the AECN </w:t>
      </w:r>
      <w:proofErr w:type="gramStart"/>
      <w:r>
        <w:rPr>
          <w:sz w:val="22"/>
          <w:szCs w:val="22"/>
        </w:rPr>
        <w:t>bio-oil</w:t>
      </w:r>
      <w:proofErr w:type="gramEnd"/>
      <w:r>
        <w:rPr>
          <w:sz w:val="22"/>
          <w:szCs w:val="22"/>
        </w:rPr>
        <w:t xml:space="preserve"> already accounted for in Charm's PDD. Charm is flagging it for the record. No action is required.</w:t>
      </w:r>
    </w:p>
    <w:p w14:paraId="6F011268" w14:textId="77777777" w:rsidR="001861C5" w:rsidRDefault="00000000">
      <w:pPr>
        <w:pStyle w:val="Heading1"/>
        <w:spacing w:before="240" w:after="120"/>
      </w:pPr>
      <w:r>
        <w:rPr>
          <w:b/>
          <w:bCs/>
          <w:color w:val="000000"/>
          <w:sz w:val="26"/>
          <w:szCs w:val="26"/>
        </w:rPr>
        <w:t>What Is Changing</w:t>
      </w:r>
    </w:p>
    <w:p w14:paraId="172C144C" w14:textId="704E7074" w:rsidR="001861C5" w:rsidRDefault="00B52223">
      <w:pPr>
        <w:spacing w:after="160"/>
      </w:pPr>
      <w:r>
        <w:rPr>
          <w:sz w:val="22"/>
          <w:szCs w:val="22"/>
        </w:rPr>
        <w:t xml:space="preserve">This past Spring, the </w:t>
      </w:r>
      <w:proofErr w:type="spellStart"/>
      <w:r>
        <w:rPr>
          <w:sz w:val="22"/>
          <w:szCs w:val="22"/>
        </w:rPr>
        <w:t>Arbec</w:t>
      </w:r>
      <w:proofErr w:type="spellEnd"/>
      <w:r>
        <w:rPr>
          <w:sz w:val="22"/>
          <w:szCs w:val="22"/>
        </w:rPr>
        <w:t xml:space="preserve"> sawmill </w:t>
      </w:r>
      <w:r w:rsidR="00000000">
        <w:rPr>
          <w:sz w:val="22"/>
          <w:szCs w:val="22"/>
        </w:rPr>
        <w:t>at Port-Cartier, QC</w:t>
      </w:r>
      <w:r>
        <w:rPr>
          <w:sz w:val="22"/>
          <w:szCs w:val="22"/>
        </w:rPr>
        <w:t xml:space="preserve"> paused production due to tariff-induced pressure on the Canadian lumber industry, with an anticipated start date in the Fall. However, AECN had a sufficient inventory of </w:t>
      </w:r>
      <w:proofErr w:type="gramStart"/>
      <w:r>
        <w:rPr>
          <w:sz w:val="22"/>
          <w:szCs w:val="22"/>
        </w:rPr>
        <w:t>recently-produced</w:t>
      </w:r>
      <w:proofErr w:type="gramEnd"/>
      <w:r>
        <w:rPr>
          <w:sz w:val="22"/>
          <w:szCs w:val="22"/>
        </w:rPr>
        <w:t xml:space="preserve"> sawmill residues that continued production of </w:t>
      </w:r>
      <w:proofErr w:type="gramStart"/>
      <w:r>
        <w:rPr>
          <w:sz w:val="22"/>
          <w:szCs w:val="22"/>
        </w:rPr>
        <w:t>bio-oil</w:t>
      </w:r>
      <w:proofErr w:type="gramEnd"/>
      <w:r>
        <w:rPr>
          <w:sz w:val="22"/>
          <w:szCs w:val="22"/>
        </w:rPr>
        <w:t xml:space="preserve"> would not be an issue during the pause at the mill. However, AECN has recently advised that the mill </w:t>
      </w:r>
      <w:r w:rsidR="00000000">
        <w:rPr>
          <w:sz w:val="22"/>
          <w:szCs w:val="22"/>
        </w:rPr>
        <w:t>will not restart lumber production for now</w:t>
      </w:r>
      <w:r>
        <w:rPr>
          <w:sz w:val="22"/>
          <w:szCs w:val="22"/>
        </w:rPr>
        <w:t xml:space="preserve"> as planned, citing ongoing trade disputes</w:t>
      </w:r>
      <w:r w:rsidR="00000000">
        <w:rPr>
          <w:sz w:val="22"/>
          <w:szCs w:val="22"/>
        </w:rPr>
        <w:t>.</w:t>
      </w:r>
    </w:p>
    <w:p w14:paraId="11136C79" w14:textId="3CE4B18B" w:rsidR="001861C5" w:rsidRDefault="00000000">
      <w:pPr>
        <w:spacing w:after="160"/>
      </w:pPr>
      <w:r>
        <w:rPr>
          <w:sz w:val="22"/>
          <w:szCs w:val="22"/>
        </w:rPr>
        <w:t xml:space="preserve">A large inventory of merchantable logs, harvested in 2024-25 in the </w:t>
      </w:r>
      <w:proofErr w:type="gramStart"/>
      <w:r>
        <w:rPr>
          <w:sz w:val="22"/>
          <w:szCs w:val="22"/>
        </w:rPr>
        <w:t>Port-Cartier forest</w:t>
      </w:r>
      <w:proofErr w:type="gramEnd"/>
      <w:r>
        <w:rPr>
          <w:sz w:val="22"/>
          <w:szCs w:val="22"/>
        </w:rPr>
        <w:t xml:space="preserve"> management unit (UA09471), sits in storage at Port-Cartier. </w:t>
      </w:r>
      <w:r w:rsidR="00B52223">
        <w:rPr>
          <w:sz w:val="22"/>
          <w:szCs w:val="22"/>
        </w:rPr>
        <w:t>T</w:t>
      </w:r>
      <w:r>
        <w:rPr>
          <w:sz w:val="22"/>
          <w:szCs w:val="22"/>
        </w:rPr>
        <w:t xml:space="preserve">hese logs run about 20.5 ft, and </w:t>
      </w:r>
      <w:proofErr w:type="spellStart"/>
      <w:r>
        <w:rPr>
          <w:sz w:val="22"/>
          <w:szCs w:val="22"/>
        </w:rPr>
        <w:t>Arbec's</w:t>
      </w:r>
      <w:proofErr w:type="spellEnd"/>
      <w:r>
        <w:rPr>
          <w:sz w:val="22"/>
          <w:szCs w:val="22"/>
        </w:rPr>
        <w:t xml:space="preserve"> mill has historically cut them to a 10 ft lumber standard. Under the new configuration, the logs are instead cut to 16 ft at Port-Cartier and shipped to the Domtar-owned mill at Baie-Comeau (formerly Resolute), which cuts to a 16 ft standard and continues operating. </w:t>
      </w:r>
      <w:r w:rsidR="009F13B0">
        <w:rPr>
          <w:sz w:val="22"/>
          <w:szCs w:val="22"/>
        </w:rPr>
        <w:t xml:space="preserve">This is AECN’s most economically feasible path to monetizing their existing inventory of already-harvested logs. </w:t>
      </w:r>
      <w:r>
        <w:rPr>
          <w:sz w:val="22"/>
          <w:szCs w:val="22"/>
        </w:rPr>
        <w:t xml:space="preserve">The resulting log ends, approximately 4.5 ft per log, are chipped by </w:t>
      </w:r>
      <w:proofErr w:type="spellStart"/>
      <w:r>
        <w:rPr>
          <w:sz w:val="22"/>
          <w:szCs w:val="22"/>
        </w:rPr>
        <w:t>Arbec</w:t>
      </w:r>
      <w:proofErr w:type="spellEnd"/>
      <w:r>
        <w:rPr>
          <w:sz w:val="22"/>
          <w:szCs w:val="22"/>
        </w:rPr>
        <w:t xml:space="preserve"> at Port-Cartier and sold to AECN as sawmill co-product. At about 4.5 ft, the ends are shorter than either mill's lumber standard (10 ft at </w:t>
      </w:r>
      <w:proofErr w:type="spellStart"/>
      <w:r>
        <w:rPr>
          <w:sz w:val="22"/>
          <w:szCs w:val="22"/>
        </w:rPr>
        <w:t>Arbec</w:t>
      </w:r>
      <w:proofErr w:type="spellEnd"/>
      <w:r>
        <w:rPr>
          <w:sz w:val="22"/>
          <w:szCs w:val="22"/>
        </w:rPr>
        <w:t>, 16 ft at Baie-Comeau), so they are chipped rather than sawn.</w:t>
      </w:r>
    </w:p>
    <w:p w14:paraId="31350EA9" w14:textId="77777777" w:rsidR="001861C5" w:rsidRDefault="00000000">
      <w:pPr>
        <w:spacing w:after="160"/>
      </w:pPr>
      <w:r>
        <w:rPr>
          <w:sz w:val="22"/>
          <w:szCs w:val="22"/>
        </w:rPr>
        <w:t>AECN may also draw on sawdust, shavings, and chips from the Baie-Comeau mill's processing of the same logs, if the Port-Cartier log ends fall short of feedstock needs. The existing sawdust pile at the site continues to be used at up to 10-15% of feedstock, as before.</w:t>
      </w:r>
    </w:p>
    <w:p w14:paraId="5B8045C8" w14:textId="77777777" w:rsidR="001861C5" w:rsidRDefault="00000000">
      <w:pPr>
        <w:spacing w:after="160"/>
      </w:pPr>
      <w:r>
        <w:rPr>
          <w:sz w:val="22"/>
          <w:szCs w:val="22"/>
        </w:rPr>
        <w:t xml:space="preserve">AECN has given Charm a preliminary, verbal estimate of 400-700 </w:t>
      </w:r>
      <w:proofErr w:type="spellStart"/>
      <w:r>
        <w:rPr>
          <w:sz w:val="22"/>
          <w:szCs w:val="22"/>
        </w:rPr>
        <w:t>tonnes</w:t>
      </w:r>
      <w:proofErr w:type="spellEnd"/>
      <w:r>
        <w:rPr>
          <w:sz w:val="22"/>
          <w:szCs w:val="22"/>
        </w:rPr>
        <w:t>/week of feedstock under the new configuration. AECN will send a written feedstock plan later this week.</w:t>
      </w:r>
    </w:p>
    <w:p w14:paraId="6301E212" w14:textId="77777777" w:rsidR="001861C5" w:rsidRDefault="00000000">
      <w:pPr>
        <w:spacing w:after="160"/>
      </w:pPr>
      <w:r>
        <w:rPr>
          <w:sz w:val="22"/>
          <w:szCs w:val="22"/>
        </w:rPr>
        <w:t>ECCC's Low Carbon Fuels Division replied to AECN on September 16, 2026 confirming that BAECN may model the chips from the 4.5 ft log ends using the aggregated process “</w:t>
      </w:r>
      <w:proofErr w:type="spellStart"/>
      <w:r>
        <w:rPr>
          <w:sz w:val="22"/>
          <w:szCs w:val="22"/>
        </w:rPr>
        <w:t>Coproduits</w:t>
      </w:r>
      <w:proofErr w:type="spellEnd"/>
      <w:r>
        <w:rPr>
          <w:sz w:val="22"/>
          <w:szCs w:val="22"/>
        </w:rPr>
        <w:t xml:space="preserve">, de </w:t>
      </w:r>
      <w:proofErr w:type="spellStart"/>
      <w:r>
        <w:rPr>
          <w:sz w:val="22"/>
          <w:szCs w:val="22"/>
        </w:rPr>
        <w:t>scierie</w:t>
      </w:r>
      <w:proofErr w:type="spellEnd"/>
      <w:r>
        <w:rPr>
          <w:sz w:val="22"/>
          <w:szCs w:val="22"/>
        </w:rPr>
        <w:t xml:space="preserve"> [CA-est],” provided the use is temporary and limited to logs harvested in 2024-25 in the Port-Cartier forest management unit (UA09471), and asked BAECN to report on the use of these chips in its carbon-intensity pathway reports: “Environment and Climate Change Canada allows </w:t>
      </w:r>
      <w:proofErr w:type="spellStart"/>
      <w:r>
        <w:rPr>
          <w:sz w:val="22"/>
          <w:szCs w:val="22"/>
        </w:rPr>
        <w:t>Bioénergie</w:t>
      </w:r>
      <w:proofErr w:type="spellEnd"/>
      <w:r>
        <w:rPr>
          <w:sz w:val="22"/>
          <w:szCs w:val="22"/>
        </w:rPr>
        <w:t xml:space="preserve"> AE Côte-Nord Canada Inc. (BAECN) to model this feedstock using the aggregated process 'Sawmill co-products [CA-east],' provided that the use of chips from the 4.5-foot ends is temporary and limited to logs harvested in 2024-25 in the Port-Cartier forest management unit (FMU 09471)” (Charm's unofficial translation; original French correspondence attached).</w:t>
      </w:r>
    </w:p>
    <w:p w14:paraId="5A4AB344" w14:textId="77777777" w:rsidR="001861C5" w:rsidRDefault="00000000">
      <w:pPr>
        <w:pStyle w:val="Heading1"/>
        <w:spacing w:before="240" w:after="120"/>
      </w:pPr>
      <w:r>
        <w:rPr>
          <w:b/>
          <w:bCs/>
          <w:color w:val="000000"/>
          <w:sz w:val="26"/>
          <w:szCs w:val="26"/>
        </w:rPr>
        <w:t>What Is Not Changing</w:t>
      </w:r>
    </w:p>
    <w:p w14:paraId="7ECC12AA" w14:textId="63410C64" w:rsidR="001861C5" w:rsidRDefault="00000000">
      <w:pPr>
        <w:spacing w:after="160"/>
      </w:pPr>
      <w:r>
        <w:rPr>
          <w:sz w:val="22"/>
          <w:szCs w:val="22"/>
        </w:rPr>
        <w:t xml:space="preserve">The trees, the forest management unit, and the Groupe Remabec/AECN sawmill value chain are all the same as before. The Port-Cartier log ends remain sawmill residue from lumber processing, the same category of material the PDD already accounts for, sourced under the same provincially managed forest and the same SFI certification. The counterfactual is unchanged: </w:t>
      </w:r>
      <w:r w:rsidR="00684EDC">
        <w:rPr>
          <w:sz w:val="22"/>
          <w:szCs w:val="22"/>
        </w:rPr>
        <w:t xml:space="preserve">Chipping odd lengths of wood from logs cut to spec is the standard practice for onsite storage. So, </w:t>
      </w:r>
      <w:r>
        <w:rPr>
          <w:sz w:val="22"/>
          <w:szCs w:val="22"/>
        </w:rPr>
        <w:t xml:space="preserve">absent an </w:t>
      </w:r>
      <w:proofErr w:type="spellStart"/>
      <w:r>
        <w:rPr>
          <w:sz w:val="22"/>
          <w:szCs w:val="22"/>
        </w:rPr>
        <w:t>offtaker</w:t>
      </w:r>
      <w:proofErr w:type="spellEnd"/>
      <w:r>
        <w:rPr>
          <w:sz w:val="22"/>
          <w:szCs w:val="22"/>
        </w:rPr>
        <w:t xml:space="preserve">, this material has no other disposition and would otherwise accumulate, as the existing sawdust pile at the site demonstrates. Only the location of final lumber processing changes, from </w:t>
      </w:r>
      <w:proofErr w:type="spellStart"/>
      <w:r>
        <w:rPr>
          <w:sz w:val="22"/>
          <w:szCs w:val="22"/>
        </w:rPr>
        <w:t>Arbec</w:t>
      </w:r>
      <w:proofErr w:type="spellEnd"/>
      <w:r>
        <w:rPr>
          <w:sz w:val="22"/>
          <w:szCs w:val="22"/>
        </w:rPr>
        <w:t xml:space="preserve"> to Baie-Comeau; Port-Cartier continues to do the log pre-processing and residue chipping that produces Charm's feedstock.</w:t>
      </w:r>
    </w:p>
    <w:p w14:paraId="75F4F13A" w14:textId="77777777" w:rsidR="001861C5" w:rsidRDefault="00000000">
      <w:pPr>
        <w:pStyle w:val="Heading1"/>
        <w:spacing w:before="240" w:after="120"/>
      </w:pPr>
      <w:r>
        <w:rPr>
          <w:b/>
          <w:bCs/>
          <w:color w:val="000000"/>
          <w:sz w:val="26"/>
          <w:szCs w:val="26"/>
        </w:rPr>
        <w:t>Eligibility and Counterfactual</w:t>
      </w:r>
    </w:p>
    <w:p w14:paraId="50D72672" w14:textId="77777777" w:rsidR="001861C5" w:rsidRDefault="00000000">
      <w:pPr>
        <w:spacing w:after="160"/>
      </w:pPr>
      <w:r>
        <w:rPr>
          <w:sz w:val="22"/>
          <w:szCs w:val="22"/>
        </w:rPr>
        <w:lastRenderedPageBreak/>
        <w:t xml:space="preserve">Charm's PDD accounts for AECN feedstock as a byproduct of sawmill lumber production, stating: “The production of this waste is incidental to the production of wood boards for construction, which is the mill's primary source of revenue. Absent an </w:t>
      </w:r>
      <w:proofErr w:type="spellStart"/>
      <w:r>
        <w:rPr>
          <w:sz w:val="22"/>
          <w:szCs w:val="22"/>
        </w:rPr>
        <w:t>offtaker</w:t>
      </w:r>
      <w:proofErr w:type="spellEnd"/>
      <w:r>
        <w:rPr>
          <w:sz w:val="22"/>
          <w:szCs w:val="22"/>
        </w:rPr>
        <w:t>, the historical fate of the mill residue has been on-site piling.” The PDD's replacement-emissions analysis concludes: “Feedstock is a waste product from commercial activities that would have been carried out absent the project... replacement emissions are considered 0 based on Biomass Feedstock Sourcing criterion C1: The feedstock currently serves no purpose.” The PDD's counterfactual storage analysis, citing the Biomass Feedstock Accounting module's EC13 provision, assigns “a counterfactual storage discount of 0” to these sawmill residues, based on the same on-site sawdust pile evidence.</w:t>
      </w:r>
    </w:p>
    <w:p w14:paraId="68EABE4D" w14:textId="77777777" w:rsidR="001861C5" w:rsidRDefault="00000000">
      <w:pPr>
        <w:spacing w:after="160"/>
      </w:pPr>
      <w:r>
        <w:rPr>
          <w:sz w:val="22"/>
          <w:szCs w:val="22"/>
        </w:rPr>
        <w:t xml:space="preserve">The currently published Biomass Feedstock Accounting Module v1.3 carries this forward. Under Table 3 (Prohibited Feedstocks), PF2, applicable to woody feedstocks: “Residues from wood processing are eligible if non-marketable or marketed only for bioenergy, landscaping or mulch over the previous 2 years.” The Port-Cartier log ends are downstream wood-processing residue too short to be sawn into lumber at either mill, with no market outside bioenergy use. Sourcing continues under the same publicly managed forest basis already documented for the project: Groupe Remabec's harvest rights under the Province of Quebec's Provincial Management Plan and its SFI certification through the Bureau de </w:t>
      </w:r>
      <w:proofErr w:type="spellStart"/>
      <w:r>
        <w:rPr>
          <w:sz w:val="22"/>
          <w:szCs w:val="22"/>
        </w:rPr>
        <w:t>Normalisation</w:t>
      </w:r>
      <w:proofErr w:type="spellEnd"/>
      <w:r>
        <w:rPr>
          <w:sz w:val="22"/>
          <w:szCs w:val="22"/>
        </w:rPr>
        <w:t xml:space="preserve"> du Québec, which support Table 1 (SC1.1): “The feedstock must be sourced from an approved forestry certification or management program listed in Table 6 or from a region subject to </w:t>
      </w:r>
      <w:proofErr w:type="spellStart"/>
      <w:proofErr w:type="gramStart"/>
      <w:r>
        <w:rPr>
          <w:sz w:val="22"/>
          <w:szCs w:val="22"/>
        </w:rPr>
        <w:t>a</w:t>
      </w:r>
      <w:proofErr w:type="spellEnd"/>
      <w:proofErr w:type="gramEnd"/>
      <w:r>
        <w:rPr>
          <w:sz w:val="22"/>
          <w:szCs w:val="22"/>
        </w:rPr>
        <w:t xml:space="preserve"> equivalent risk assessment.”</w:t>
      </w:r>
    </w:p>
    <w:p w14:paraId="1093767A" w14:textId="77777777" w:rsidR="001861C5" w:rsidRDefault="00000000">
      <w:pPr>
        <w:spacing w:after="160"/>
      </w:pPr>
      <w:r>
        <w:rPr>
          <w:sz w:val="22"/>
          <w:szCs w:val="22"/>
        </w:rPr>
        <w:t>The Baie-Comeau sawdust, shavings, and chips are a different case: they come from the same logs, but Baie-Comeau's mill is part of an integrated group whose sawmill residues normally feed the group's own paper mills, so this stream does not carry the same no-market conclusion as the Port-Cartier log ends. AECN expects to draw on this stream only if the Port-Cartier log ends fall short. Charm will provide the eligibility evidence for the Baie-Comeau stream, together with AECN's written feedstock plan, before any of that volume enters Charm-credited removals.</w:t>
      </w:r>
    </w:p>
    <w:p w14:paraId="0434EC62" w14:textId="77777777" w:rsidR="001861C5" w:rsidRDefault="00000000">
      <w:pPr>
        <w:spacing w:after="160"/>
      </w:pPr>
      <w:r>
        <w:rPr>
          <w:sz w:val="22"/>
          <w:szCs w:val="22"/>
        </w:rPr>
        <w:t xml:space="preserve">Nothing in this configuration change alters the counterfactual fate finding already accepted for AECN feedstock: absent an </w:t>
      </w:r>
      <w:proofErr w:type="spellStart"/>
      <w:r>
        <w:rPr>
          <w:sz w:val="22"/>
          <w:szCs w:val="22"/>
        </w:rPr>
        <w:t>offtaker</w:t>
      </w:r>
      <w:proofErr w:type="spellEnd"/>
      <w:r>
        <w:rPr>
          <w:sz w:val="22"/>
          <w:szCs w:val="22"/>
        </w:rPr>
        <w:t>, this class of sawmill residue accumulates on site, as the existing sawdust pile evidences.</w:t>
      </w:r>
    </w:p>
    <w:p w14:paraId="7D5D18B4" w14:textId="77777777" w:rsidR="001861C5" w:rsidRDefault="00000000">
      <w:pPr>
        <w:pStyle w:val="Heading1"/>
        <w:spacing w:before="240" w:after="120"/>
      </w:pPr>
      <w:r>
        <w:rPr>
          <w:b/>
          <w:bCs/>
          <w:color w:val="000000"/>
          <w:sz w:val="26"/>
          <w:szCs w:val="26"/>
        </w:rPr>
        <w:t>LCA Treatment</w:t>
      </w:r>
    </w:p>
    <w:p w14:paraId="7789BEED" w14:textId="77777777" w:rsidR="001861C5" w:rsidRDefault="00000000">
      <w:pPr>
        <w:spacing w:after="160"/>
      </w:pPr>
      <w:r>
        <w:rPr>
          <w:sz w:val="22"/>
          <w:szCs w:val="22"/>
        </w:rPr>
        <w:t>Charm will add the Port-Cartier to Baie-Comeau transport leg for any Baie-Comeau-sourced residues to the project's emissions accounting, conservatively applying that transport burden across the full feedstock mass rather than only the Baie-Comeau fraction. This will be reflected in AECN's next life-cycle carbon-intensity update to Charm.</w:t>
      </w:r>
    </w:p>
    <w:p w14:paraId="7A6E8EF1" w14:textId="77777777" w:rsidR="001861C5" w:rsidRDefault="00000000">
      <w:pPr>
        <w:pStyle w:val="Heading1"/>
        <w:spacing w:before="240" w:after="120"/>
      </w:pPr>
      <w:r>
        <w:rPr>
          <w:b/>
          <w:bCs/>
          <w:color w:val="000000"/>
          <w:sz w:val="26"/>
          <w:szCs w:val="26"/>
        </w:rPr>
        <w:t>Documentation Charm Will Provide</w:t>
      </w:r>
    </w:p>
    <w:p w14:paraId="7E6EB5B3" w14:textId="77777777" w:rsidR="001861C5" w:rsidRDefault="00000000">
      <w:pPr>
        <w:pStyle w:val="ListParagraph"/>
        <w:numPr>
          <w:ilvl w:val="0"/>
          <w:numId w:val="1"/>
        </w:numPr>
        <w:spacing w:after="100"/>
      </w:pPr>
      <w:proofErr w:type="gramStart"/>
      <w:r>
        <w:rPr>
          <w:sz w:val="22"/>
          <w:szCs w:val="22"/>
        </w:rPr>
        <w:t>AECN's written feedstock plan,</w:t>
      </w:r>
      <w:proofErr w:type="gramEnd"/>
      <w:r>
        <w:rPr>
          <w:sz w:val="22"/>
          <w:szCs w:val="22"/>
        </w:rPr>
        <w:t xml:space="preserve"> once received.</w:t>
      </w:r>
    </w:p>
    <w:p w14:paraId="783D817F" w14:textId="77777777" w:rsidR="001861C5" w:rsidRDefault="00000000">
      <w:pPr>
        <w:pStyle w:val="ListParagraph"/>
        <w:numPr>
          <w:ilvl w:val="0"/>
          <w:numId w:val="1"/>
        </w:numPr>
        <w:spacing w:after="100"/>
      </w:pPr>
      <w:r>
        <w:rPr>
          <w:sz w:val="22"/>
          <w:szCs w:val="22"/>
        </w:rPr>
        <w:t>The Environment and Climate Change Canada correspondence referenced above: attached.</w:t>
      </w:r>
    </w:p>
    <w:p w14:paraId="6A9DCD82" w14:textId="77777777" w:rsidR="001861C5" w:rsidRDefault="00000000">
      <w:pPr>
        <w:pStyle w:val="ListParagraph"/>
        <w:numPr>
          <w:ilvl w:val="0"/>
          <w:numId w:val="1"/>
        </w:numPr>
        <w:spacing w:after="100"/>
      </w:pPr>
      <w:r>
        <w:rPr>
          <w:sz w:val="22"/>
          <w:szCs w:val="22"/>
        </w:rPr>
        <w:t>The updated AECN life-cycle carbon-intensity figure reflecting the added transport leg, per the LCA Treatment section above.</w:t>
      </w:r>
    </w:p>
    <w:p w14:paraId="42E1F57A" w14:textId="77777777" w:rsidR="001861C5" w:rsidRDefault="00000000">
      <w:pPr>
        <w:pStyle w:val="Heading1"/>
        <w:spacing w:before="240" w:after="120"/>
      </w:pPr>
      <w:r>
        <w:rPr>
          <w:b/>
          <w:bCs/>
          <w:color w:val="000000"/>
          <w:sz w:val="26"/>
          <w:szCs w:val="26"/>
        </w:rPr>
        <w:t>Closing</w:t>
      </w:r>
    </w:p>
    <w:p w14:paraId="71932FD2" w14:textId="77777777" w:rsidR="001861C5" w:rsidRDefault="00000000">
      <w:pPr>
        <w:spacing w:after="160"/>
      </w:pPr>
      <w:r>
        <w:rPr>
          <w:sz w:val="22"/>
          <w:szCs w:val="22"/>
        </w:rPr>
        <w:t>Charm plans to continue sourcing and accounting for this feedstock as described above and welcomes any questions or concerns Isometric has.</w:t>
      </w:r>
    </w:p>
    <w:sectPr w:rsidR="001861C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406D4B"/>
    <w:multiLevelType w:val="hybridMultilevel"/>
    <w:tmpl w:val="6ED67578"/>
    <w:lvl w:ilvl="0" w:tplc="18E0A41C">
      <w:start w:val="1"/>
      <w:numFmt w:val="bullet"/>
      <w:lvlText w:val="●"/>
      <w:lvlJc w:val="left"/>
      <w:pPr>
        <w:ind w:left="720" w:hanging="360"/>
      </w:pPr>
    </w:lvl>
    <w:lvl w:ilvl="1" w:tplc="65724D70">
      <w:start w:val="1"/>
      <w:numFmt w:val="bullet"/>
      <w:lvlText w:val="○"/>
      <w:lvlJc w:val="left"/>
      <w:pPr>
        <w:ind w:left="1440" w:hanging="360"/>
      </w:pPr>
    </w:lvl>
    <w:lvl w:ilvl="2" w:tplc="49C2002A">
      <w:start w:val="1"/>
      <w:numFmt w:val="bullet"/>
      <w:lvlText w:val="■"/>
      <w:lvlJc w:val="left"/>
      <w:pPr>
        <w:ind w:left="2160" w:hanging="360"/>
      </w:pPr>
    </w:lvl>
    <w:lvl w:ilvl="3" w:tplc="B798CAA4">
      <w:start w:val="1"/>
      <w:numFmt w:val="bullet"/>
      <w:lvlText w:val="●"/>
      <w:lvlJc w:val="left"/>
      <w:pPr>
        <w:ind w:left="2880" w:hanging="360"/>
      </w:pPr>
    </w:lvl>
    <w:lvl w:ilvl="4" w:tplc="7A6C1D88">
      <w:start w:val="1"/>
      <w:numFmt w:val="bullet"/>
      <w:lvlText w:val="○"/>
      <w:lvlJc w:val="left"/>
      <w:pPr>
        <w:ind w:left="3600" w:hanging="360"/>
      </w:pPr>
    </w:lvl>
    <w:lvl w:ilvl="5" w:tplc="2AA44FF8">
      <w:start w:val="1"/>
      <w:numFmt w:val="bullet"/>
      <w:lvlText w:val="■"/>
      <w:lvlJc w:val="left"/>
      <w:pPr>
        <w:ind w:left="4320" w:hanging="360"/>
      </w:pPr>
    </w:lvl>
    <w:lvl w:ilvl="6" w:tplc="2CF2CB0C">
      <w:start w:val="1"/>
      <w:numFmt w:val="bullet"/>
      <w:lvlText w:val="●"/>
      <w:lvlJc w:val="left"/>
      <w:pPr>
        <w:ind w:left="5040" w:hanging="360"/>
      </w:pPr>
    </w:lvl>
    <w:lvl w:ilvl="7" w:tplc="30442E0C">
      <w:start w:val="1"/>
      <w:numFmt w:val="bullet"/>
      <w:lvlText w:val="●"/>
      <w:lvlJc w:val="left"/>
      <w:pPr>
        <w:ind w:left="5760" w:hanging="360"/>
      </w:pPr>
    </w:lvl>
    <w:lvl w:ilvl="8" w:tplc="CA62BC4C">
      <w:start w:val="1"/>
      <w:numFmt w:val="bullet"/>
      <w:lvlText w:val="●"/>
      <w:lvlJc w:val="left"/>
      <w:pPr>
        <w:ind w:left="6480" w:hanging="360"/>
      </w:pPr>
    </w:lvl>
  </w:abstractNum>
  <w:num w:numId="1" w16cid:durableId="114493241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61C5"/>
    <w:rsid w:val="001861C5"/>
    <w:rsid w:val="00684EDC"/>
    <w:rsid w:val="0077768E"/>
    <w:rsid w:val="009F13B0"/>
    <w:rsid w:val="00B52223"/>
    <w:rsid w:val="00FD1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6378BA"/>
  <w15:docId w15:val="{FFFB3A64-5D73-1F48-A224-360FA9BBD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1066</Words>
  <Characters>6078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Max Bernard Lavine</cp:lastModifiedBy>
  <cp:revision>3</cp:revision>
  <dcterms:created xsi:type="dcterms:W3CDTF">2026-09-22T18:40:00Z</dcterms:created>
  <dcterms:modified xsi:type="dcterms:W3CDTF">2026-09-24T23:26:00Z</dcterms:modified>
</cp:coreProperties>
</file>