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76BC4B" w14:textId="77777777" w:rsidR="005041AE" w:rsidRDefault="00A94970">
      <w:r>
        <w:rPr>
          <w:b/>
          <w:color w:val="000000"/>
          <w:sz w:val="32"/>
        </w:rPr>
        <w:t>Notice: AECN Feedstock Configuration Change</w:t>
      </w:r>
    </w:p>
    <w:p w14:paraId="36224C15" w14:textId="77777777" w:rsidR="005041AE" w:rsidRDefault="00A94970">
      <w:r>
        <w:rPr>
          <w:sz w:val="22"/>
        </w:rPr>
        <w:t>Date: September 24, 2026</w:t>
      </w:r>
    </w:p>
    <w:p w14:paraId="5CCD9C5E" w14:textId="77777777" w:rsidR="005041AE" w:rsidRDefault="00A94970">
      <w:r>
        <w:rPr>
          <w:sz w:val="22"/>
        </w:rPr>
        <w:t>From: Max Lavine, Charm Industrial</w:t>
      </w:r>
    </w:p>
    <w:p w14:paraId="56F49AB6" w14:textId="77777777" w:rsidR="005041AE" w:rsidRDefault="00A94970">
      <w:r>
        <w:rPr>
          <w:sz w:val="22"/>
        </w:rPr>
        <w:t>To: Isometric</w:t>
      </w:r>
    </w:p>
    <w:p w14:paraId="00E02CC9" w14:textId="77777777" w:rsidR="005041AE" w:rsidRDefault="00A94970">
      <w:pPr>
        <w:pStyle w:val="Heading1"/>
      </w:pPr>
      <w:r>
        <w:rPr>
          <w:b/>
          <w:color w:val="000000"/>
          <w:sz w:val="26"/>
        </w:rPr>
        <w:t>Purpose</w:t>
      </w:r>
    </w:p>
    <w:p w14:paraId="3322C761" w14:textId="77777777" w:rsidR="005041AE" w:rsidRDefault="00A94970">
      <w:pPr>
        <w:rPr>
          <w:sz w:val="22"/>
        </w:rPr>
      </w:pPr>
      <w:r>
        <w:rPr>
          <w:sz w:val="22"/>
        </w:rPr>
        <w:t>This notice covers a change to sawmill-residue feedstock sourcing for the AECN bio-oil already accounted for in Charm's PDD. Charm is flagging it for the record. No action is required.</w:t>
      </w:r>
    </w:p>
    <w:p w14:paraId="54F62E57" w14:textId="77777777" w:rsidR="00CF5861" w:rsidRDefault="00CF5861"/>
    <w:p w14:paraId="58479C18" w14:textId="77777777" w:rsidR="005041AE" w:rsidRDefault="00A94970">
      <w:pPr>
        <w:pStyle w:val="Heading1"/>
      </w:pPr>
      <w:r>
        <w:rPr>
          <w:b/>
          <w:color w:val="000000"/>
          <w:sz w:val="26"/>
        </w:rPr>
        <w:t>What Is Changing</w:t>
      </w:r>
    </w:p>
    <w:p w14:paraId="4E3C317A" w14:textId="3A8D2206" w:rsidR="005041AE" w:rsidRDefault="00A94970">
      <w:pPr>
        <w:rPr>
          <w:sz w:val="22"/>
        </w:rPr>
      </w:pPr>
      <w:r>
        <w:rPr>
          <w:sz w:val="22"/>
        </w:rPr>
        <w:t xml:space="preserve">This past Spring, the Arbec sawmill at Port-Cartier, QC paused production due to tariff-induced pressure on the Canadian lumber industry, with an anticipated </w:t>
      </w:r>
      <w:r w:rsidR="00E826D3">
        <w:rPr>
          <w:sz w:val="22"/>
        </w:rPr>
        <w:t>re-</w:t>
      </w:r>
      <w:r>
        <w:rPr>
          <w:sz w:val="22"/>
        </w:rPr>
        <w:t>start</w:t>
      </w:r>
      <w:r>
        <w:rPr>
          <w:sz w:val="22"/>
        </w:rPr>
        <w:t xml:space="preserve"> in the Fall. </w:t>
      </w:r>
      <w:r w:rsidR="00E826D3">
        <w:rPr>
          <w:sz w:val="22"/>
        </w:rPr>
        <w:t xml:space="preserve">At that time, </w:t>
      </w:r>
      <w:r>
        <w:rPr>
          <w:sz w:val="22"/>
        </w:rPr>
        <w:t xml:space="preserve">AECN had a sufficient inventory of </w:t>
      </w:r>
      <w:proofErr w:type="gramStart"/>
      <w:r>
        <w:rPr>
          <w:sz w:val="22"/>
        </w:rPr>
        <w:t>recently-produced</w:t>
      </w:r>
      <w:proofErr w:type="gramEnd"/>
      <w:r>
        <w:rPr>
          <w:sz w:val="22"/>
        </w:rPr>
        <w:t xml:space="preserve"> sawmill residues that continued production of </w:t>
      </w:r>
      <w:proofErr w:type="gramStart"/>
      <w:r>
        <w:rPr>
          <w:sz w:val="22"/>
        </w:rPr>
        <w:t>bio-oil</w:t>
      </w:r>
      <w:proofErr w:type="gramEnd"/>
      <w:r>
        <w:rPr>
          <w:sz w:val="22"/>
        </w:rPr>
        <w:t xml:space="preserve"> would not be an issue during the pause at the mill. However, AECN has recently advised that the mill will not restart lumber production for now as planned, citing ongoing trade disputes.</w:t>
      </w:r>
    </w:p>
    <w:p w14:paraId="036778A1" w14:textId="77777777" w:rsidR="00E826D3" w:rsidRDefault="00E826D3"/>
    <w:p w14:paraId="7642F500" w14:textId="52539CE5" w:rsidR="005041AE" w:rsidRDefault="00E826D3">
      <w:pPr>
        <w:rPr>
          <w:sz w:val="22"/>
        </w:rPr>
      </w:pPr>
      <w:r>
        <w:rPr>
          <w:sz w:val="22"/>
        </w:rPr>
        <w:t>The mill</w:t>
      </w:r>
      <w:r w:rsidR="00A94970">
        <w:rPr>
          <w:sz w:val="22"/>
        </w:rPr>
        <w:t xml:space="preserve"> </w:t>
      </w:r>
      <w:r>
        <w:rPr>
          <w:sz w:val="22"/>
        </w:rPr>
        <w:t>has a</w:t>
      </w:r>
      <w:r w:rsidR="00A94970">
        <w:rPr>
          <w:sz w:val="22"/>
        </w:rPr>
        <w:t xml:space="preserve"> </w:t>
      </w:r>
      <w:r>
        <w:rPr>
          <w:sz w:val="22"/>
        </w:rPr>
        <w:t xml:space="preserve">considerable </w:t>
      </w:r>
      <w:r w:rsidR="00A94970">
        <w:rPr>
          <w:sz w:val="22"/>
        </w:rPr>
        <w:t xml:space="preserve">inventory of merchantable logs, harvested in 2024-25 in the </w:t>
      </w:r>
      <w:proofErr w:type="gramStart"/>
      <w:r w:rsidR="00A94970">
        <w:rPr>
          <w:sz w:val="22"/>
        </w:rPr>
        <w:t>Port-Cartier forest</w:t>
      </w:r>
      <w:proofErr w:type="gramEnd"/>
      <w:r w:rsidR="00A94970">
        <w:rPr>
          <w:sz w:val="22"/>
        </w:rPr>
        <w:t xml:space="preserve"> management unit (UA09471)</w:t>
      </w:r>
      <w:r>
        <w:rPr>
          <w:sz w:val="22"/>
        </w:rPr>
        <w:t>. The logs are approximately 20.5 feet and, under normal circumstances, are cut to 10-foot lengths for processing at Port Cartier. However, the economically viable option for processing that inventory under current conditions is to</w:t>
      </w:r>
      <w:r w:rsidR="00A94970">
        <w:rPr>
          <w:sz w:val="22"/>
        </w:rPr>
        <w:t xml:space="preserve"> cut</w:t>
      </w:r>
      <w:r w:rsidR="00A94970">
        <w:rPr>
          <w:sz w:val="22"/>
        </w:rPr>
        <w:t xml:space="preserve"> them to 16 ft at Port-Cartier and </w:t>
      </w:r>
      <w:r>
        <w:rPr>
          <w:sz w:val="22"/>
        </w:rPr>
        <w:t>truck</w:t>
      </w:r>
      <w:r w:rsidR="00A94970">
        <w:rPr>
          <w:sz w:val="22"/>
        </w:rPr>
        <w:t xml:space="preserve"> them to the Domtar mill at Baie-Comeau, which cuts to a 16 ft standard and continues operating. The resulting log ends, about 4.5 ft per log, are shorter than either mill's lumber standard (10 ft at Arbec, 16 ft at Baie-Comeau)</w:t>
      </w:r>
      <w:r w:rsidR="00CF5861">
        <w:rPr>
          <w:sz w:val="22"/>
        </w:rPr>
        <w:t xml:space="preserve"> and thus have no economically viable use</w:t>
      </w:r>
      <w:r>
        <w:rPr>
          <w:sz w:val="22"/>
        </w:rPr>
        <w:t>. As with other non-merchantable residues</w:t>
      </w:r>
      <w:r w:rsidR="00A94970">
        <w:rPr>
          <w:sz w:val="22"/>
        </w:rPr>
        <w:t xml:space="preserve"> </w:t>
      </w:r>
      <w:proofErr w:type="spellStart"/>
      <w:r w:rsidR="00A94970">
        <w:rPr>
          <w:sz w:val="22"/>
        </w:rPr>
        <w:t>Arbec</w:t>
      </w:r>
      <w:proofErr w:type="spellEnd"/>
      <w:r w:rsidR="00A94970">
        <w:rPr>
          <w:sz w:val="22"/>
        </w:rPr>
        <w:t xml:space="preserve"> chips them at Port-Cartier</w:t>
      </w:r>
      <w:r>
        <w:rPr>
          <w:sz w:val="22"/>
        </w:rPr>
        <w:t xml:space="preserve">, in line with historical practices of onsite chipping and </w:t>
      </w:r>
      <w:proofErr w:type="gramStart"/>
      <w:r>
        <w:rPr>
          <w:sz w:val="22"/>
        </w:rPr>
        <w:t xml:space="preserve">piling, </w:t>
      </w:r>
      <w:r w:rsidR="00A94970">
        <w:rPr>
          <w:sz w:val="22"/>
        </w:rPr>
        <w:t>and</w:t>
      </w:r>
      <w:proofErr w:type="gramEnd"/>
      <w:r w:rsidR="00A94970">
        <w:rPr>
          <w:sz w:val="22"/>
        </w:rPr>
        <w:t xml:space="preserve"> sells the chips to AECN as sawmill co-product</w:t>
      </w:r>
      <w:r>
        <w:rPr>
          <w:sz w:val="22"/>
        </w:rPr>
        <w:t xml:space="preserve">. </w:t>
      </w:r>
      <w:r w:rsidR="00A94970">
        <w:rPr>
          <w:sz w:val="22"/>
        </w:rPr>
        <w:t>The same wood is processed by the same value chain; only the log spec and the location of final lumber processing change.</w:t>
      </w:r>
    </w:p>
    <w:p w14:paraId="0685F6BC" w14:textId="77777777" w:rsidR="00E826D3" w:rsidRDefault="00E826D3"/>
    <w:p w14:paraId="01BDFF7C" w14:textId="53C394B3" w:rsidR="005041AE" w:rsidRDefault="00A94970">
      <w:pPr>
        <w:rPr>
          <w:sz w:val="22"/>
        </w:rPr>
      </w:pPr>
      <w:r>
        <w:rPr>
          <w:sz w:val="22"/>
        </w:rPr>
        <w:t>This reconfiguration is AECN and Arbec's most economically viable way to monetize the log inventory</w:t>
      </w:r>
      <w:r>
        <w:rPr>
          <w:sz w:val="22"/>
        </w:rPr>
        <w:t>. AECN's 3 September 2026 request to ECCC put it directly: “à défaut de trouver rapidement un débouché de sciage pour ces billes, celles-ci risquent d'être dégradées au point de ne plus pouvoir être transformées en bois d'œuvre et de perdre toute valeur monétaire” — in Charm's translation, “absent a lumber outlet found quickly for these logs, they risk degrading to the point where they can no longer be processed into lumber, losing all monetary value” (source email, line 27). The same correspondence explain</w:t>
      </w:r>
      <w:r>
        <w:rPr>
          <w:sz w:val="22"/>
        </w:rPr>
        <w:t>s why Baie-Comeau's mill can still take the wood: “des prix de marché plus élevés pour le bois d'œuvre de 16 pieds” — “higher market prices for 16-foot lumber” (line 30) — a market Arbec's 10 ft standard does not reach.</w:t>
      </w:r>
    </w:p>
    <w:p w14:paraId="1976ABC7" w14:textId="77777777" w:rsidR="00E826D3" w:rsidRDefault="00E826D3"/>
    <w:p w14:paraId="70FEDC89" w14:textId="77777777" w:rsidR="005041AE" w:rsidRDefault="00A94970">
      <w:pPr>
        <w:rPr>
          <w:sz w:val="22"/>
        </w:rPr>
      </w:pPr>
      <w:r>
        <w:rPr>
          <w:sz w:val="22"/>
        </w:rPr>
        <w:t>ECCC's Low Carbon Fuels Division confirmed on 16 September 2026 that the log-end chips may be modeled as sawmill co-products under the Clean Fuel Regulations, limited to the 2024-25 harvest from the Port-Cartier forest management unit (UA09471). The correspondence is attached.</w:t>
      </w:r>
    </w:p>
    <w:p w14:paraId="12469E4A" w14:textId="77777777" w:rsidR="00CF5861" w:rsidRDefault="00CF5861"/>
    <w:p w14:paraId="7C5F5F37" w14:textId="77777777" w:rsidR="005041AE" w:rsidRDefault="00A94970">
      <w:pPr>
        <w:pStyle w:val="Heading1"/>
      </w:pPr>
      <w:r>
        <w:rPr>
          <w:b/>
          <w:color w:val="000000"/>
          <w:sz w:val="26"/>
        </w:rPr>
        <w:t>What Is Not Changing</w:t>
      </w:r>
    </w:p>
    <w:p w14:paraId="71D4C3E1" w14:textId="5CBEBBAD" w:rsidR="005041AE" w:rsidRDefault="00A94970">
      <w:pPr>
        <w:rPr>
          <w:sz w:val="22"/>
        </w:rPr>
      </w:pPr>
      <w:r>
        <w:rPr>
          <w:sz w:val="22"/>
        </w:rPr>
        <w:t>The trees, the forest management unit, and the Groupe Remabec/AECN value chain are unchanged. The Port-Cartier log ends are sawmill residue from the same lumber processing the PDD already accounts for, under the same provincially managed forest</w:t>
      </w:r>
      <w:r>
        <w:rPr>
          <w:sz w:val="22"/>
        </w:rPr>
        <w:t>. Chipping odd lengths of wood from logs cut to spec is the standard practice for onsite storage. So, absent an offtaker, this material has no other disposition and would otherwise accumulate, as the existing sawdust pile at the site demonstrates.</w:t>
      </w:r>
    </w:p>
    <w:p w14:paraId="57C1F761" w14:textId="77777777" w:rsidR="00CF5861" w:rsidRDefault="00CF5861"/>
    <w:p w14:paraId="0A6B752B" w14:textId="77777777" w:rsidR="005041AE" w:rsidRDefault="00A94970">
      <w:pPr>
        <w:pStyle w:val="Heading1"/>
      </w:pPr>
      <w:r>
        <w:rPr>
          <w:b/>
          <w:color w:val="000000"/>
          <w:sz w:val="26"/>
        </w:rPr>
        <w:t>Eligibility and Counterfactual</w:t>
      </w:r>
    </w:p>
    <w:p w14:paraId="2F1D999B" w14:textId="77777777" w:rsidR="00174CD5" w:rsidRDefault="00A94970">
      <w:pPr>
        <w:rPr>
          <w:sz w:val="22"/>
        </w:rPr>
      </w:pPr>
      <w:r>
        <w:rPr>
          <w:sz w:val="22"/>
        </w:rPr>
        <w:t>This feedstock was validated under Biomass Feedstock Accounting v1.1 (https://registry.isometric.com/module/biomass-feedstock-accounting/1.1), and this change is assessed against that version's requirements</w:t>
      </w:r>
      <w:r w:rsidR="00164194">
        <w:rPr>
          <w:sz w:val="22"/>
        </w:rPr>
        <w:t xml:space="preserve">. </w:t>
      </w:r>
    </w:p>
    <w:p w14:paraId="517A66ED" w14:textId="513A7A39" w:rsidR="00174CD5" w:rsidRDefault="00AF4DAE">
      <w:pPr>
        <w:rPr>
          <w:sz w:val="22"/>
        </w:rPr>
      </w:pPr>
      <w:r>
        <w:rPr>
          <w:sz w:val="22"/>
        </w:rPr>
        <w:t>B</w:t>
      </w:r>
    </w:p>
    <w:p w14:paraId="183DFBC7" w14:textId="77777777" w:rsidR="00174CD5" w:rsidRDefault="00A94970">
      <w:pPr>
        <w:rPr>
          <w:sz w:val="22"/>
        </w:rPr>
      </w:pPr>
      <w:r>
        <w:rPr>
          <w:sz w:val="22"/>
        </w:rPr>
        <w:t xml:space="preserve">Charm's PDD states: “The production of this waste is incidental to the production of wood boards for construction, which is the mill's primary source of revenue. Absent an offtaker, the historical fate of the mill residue has been on-site piling” (pdd_full.txt, line 515). </w:t>
      </w:r>
    </w:p>
    <w:p w14:paraId="577AB1C9" w14:textId="5FCB6065" w:rsidR="005041AE" w:rsidRDefault="00A94970">
      <w:pPr>
        <w:rPr>
          <w:sz w:val="22"/>
        </w:rPr>
      </w:pPr>
      <w:r>
        <w:rPr>
          <w:sz w:val="22"/>
        </w:rPr>
        <w:lastRenderedPageBreak/>
        <w:t xml:space="preserve">The PDD finds market-leakage eligibility under “EC5: Publicly managed forest management activity” (line 2210), replacement emissions of zero under “Biomass Feedstock Sourcing criterion C1: The feedstock currently serves no purpose” (line 610), and a counterfactual storage discount of zero citing the module's “EC13” provision (line 2225) — a PDD-era reference to Biomass Feedstock Accounting v1.2 numbering (PDD line 659); in the currently validated v1.1 text, this is EC10. v1.1 itself provides, under Section </w:t>
      </w:r>
      <w:r>
        <w:rPr>
          <w:sz w:val="22"/>
        </w:rPr>
        <w:t>2.1 (Eligibility Criteria for Biomass Feedstocks with Potential Market Leakage Impacts), EC5: “Applicable to forest residues only: Forest residues are sourced from a regulated forest management project,” where footnote 1 defines a forest residue as “non-marketable wood, for example, beetle kill, sticks and twigs, mill residues, etc.” Under Section 3.2.2 (Exemptions to CO2eReplacement, p), C1: “If the feedstock currently serves no purpose, such as mill residues in a stockpile or forest residues sitting on th</w:t>
      </w:r>
      <w:r>
        <w:rPr>
          <w:sz w:val="22"/>
        </w:rPr>
        <w:t xml:space="preserve">e forest floor, there are deemed to be no replacement emissions.” Under Section 2.2 (Counterfactual Storage Eligibility), EC10: “Biomass that is expected to have decayed or where the most likely counterfactual fate would release the stored biogenic carbon sooner than 15 years from when a project uses it, is eligible under this protocol and will not incur any counterfactual storage penalty.” The Port-Cartier log ends are </w:t>
      </w:r>
      <w:proofErr w:type="gramStart"/>
      <w:r>
        <w:rPr>
          <w:sz w:val="22"/>
        </w:rPr>
        <w:t>mill</w:t>
      </w:r>
      <w:proofErr w:type="gramEnd"/>
      <w:r>
        <w:rPr>
          <w:sz w:val="22"/>
        </w:rPr>
        <w:t xml:space="preserve"> residue from the same sawmill, harvested under the same forest management plan, wit</w:t>
      </w:r>
      <w:r>
        <w:rPr>
          <w:sz w:val="22"/>
        </w:rPr>
        <w:t>h the same no-purpose history as the sawdust and shavings already validated — they meet EC5, C1, and EC10 for the same reasons.</w:t>
      </w:r>
    </w:p>
    <w:p w14:paraId="69774A22" w14:textId="77777777" w:rsidR="00CF5861" w:rsidRDefault="00CF5861"/>
    <w:p w14:paraId="19034A95" w14:textId="77777777" w:rsidR="005041AE" w:rsidRDefault="00A94970">
      <w:pPr>
        <w:pStyle w:val="Heading1"/>
      </w:pPr>
      <w:r>
        <w:rPr>
          <w:b/>
          <w:color w:val="000000"/>
          <w:sz w:val="26"/>
        </w:rPr>
        <w:t>Baie-Comeau Residues</w:t>
      </w:r>
    </w:p>
    <w:p w14:paraId="2E50F273" w14:textId="77777777" w:rsidR="005041AE" w:rsidRDefault="00A94970">
      <w:pPr>
        <w:rPr>
          <w:sz w:val="22"/>
        </w:rPr>
      </w:pPr>
      <w:r>
        <w:rPr>
          <w:sz w:val="22"/>
        </w:rPr>
        <w:t>AECN would draw on Baie-Comeau's sawdust, shavings, and chips from these same logs only if the Port-Cartier log ends fall short. Charm will provide eligibility evidence for that stream, together with AECN's written feedstock plan, before any of that volume enters credited removals.</w:t>
      </w:r>
    </w:p>
    <w:p w14:paraId="32D87611" w14:textId="77777777" w:rsidR="00CF5861" w:rsidRDefault="00CF5861"/>
    <w:p w14:paraId="7271E1B8" w14:textId="77777777" w:rsidR="005041AE" w:rsidRDefault="00A94970">
      <w:pPr>
        <w:pStyle w:val="Heading1"/>
      </w:pPr>
      <w:r>
        <w:rPr>
          <w:b/>
          <w:color w:val="000000"/>
          <w:sz w:val="26"/>
        </w:rPr>
        <w:t>LCA Treatment</w:t>
      </w:r>
    </w:p>
    <w:p w14:paraId="15ED35AD" w14:textId="77777777" w:rsidR="005041AE" w:rsidRDefault="00A94970">
      <w:pPr>
        <w:rPr>
          <w:sz w:val="22"/>
        </w:rPr>
      </w:pPr>
      <w:r>
        <w:rPr>
          <w:sz w:val="22"/>
        </w:rPr>
        <w:t>Charm will add the Port-Cartier to Baie-Comeau transport leg to the project's emissions accounting, applied conservatively across the full feedstock mass, in AECN's next life-cycle carbon-intensity update.</w:t>
      </w:r>
    </w:p>
    <w:p w14:paraId="7B3E5D41" w14:textId="77777777" w:rsidR="00CF5861" w:rsidRDefault="00CF5861"/>
    <w:p w14:paraId="4830DBA1" w14:textId="77777777" w:rsidR="005041AE" w:rsidRDefault="00A94970">
      <w:pPr>
        <w:pStyle w:val="Heading1"/>
      </w:pPr>
      <w:r>
        <w:rPr>
          <w:b/>
          <w:color w:val="000000"/>
          <w:sz w:val="26"/>
        </w:rPr>
        <w:t>Documentation Charm Will Provide</w:t>
      </w:r>
    </w:p>
    <w:p w14:paraId="156688A8" w14:textId="77777777" w:rsidR="005041AE" w:rsidRDefault="00A94970">
      <w:pPr>
        <w:pStyle w:val="ListParagraph"/>
        <w:numPr>
          <w:ilvl w:val="0"/>
          <w:numId w:val="1"/>
        </w:numPr>
      </w:pPr>
      <w:r>
        <w:rPr>
          <w:sz w:val="22"/>
        </w:rPr>
        <w:t>AECN's written feedstock plan, once received.</w:t>
      </w:r>
    </w:p>
    <w:p w14:paraId="19954E5B" w14:textId="77777777" w:rsidR="005041AE" w:rsidRDefault="00A94970">
      <w:pPr>
        <w:pStyle w:val="ListParagraph"/>
        <w:numPr>
          <w:ilvl w:val="0"/>
          <w:numId w:val="1"/>
        </w:numPr>
      </w:pPr>
      <w:r>
        <w:rPr>
          <w:sz w:val="22"/>
        </w:rPr>
        <w:t>The Environment and Climate Change Canada correspondence referenced above: attached.</w:t>
      </w:r>
    </w:p>
    <w:p w14:paraId="0FEBAAD0" w14:textId="77777777" w:rsidR="005041AE" w:rsidRDefault="00A94970">
      <w:pPr>
        <w:pStyle w:val="ListParagraph"/>
        <w:numPr>
          <w:ilvl w:val="0"/>
          <w:numId w:val="1"/>
        </w:numPr>
      </w:pPr>
      <w:r>
        <w:rPr>
          <w:sz w:val="22"/>
        </w:rPr>
        <w:t>The updated AECN life-cycle carbon-intensity figure reflecting the added transport leg.</w:t>
      </w:r>
    </w:p>
    <w:p w14:paraId="5F04B86A" w14:textId="77777777" w:rsidR="005041AE" w:rsidRDefault="00A94970">
      <w:pPr>
        <w:pStyle w:val="Heading1"/>
      </w:pPr>
      <w:r>
        <w:rPr>
          <w:b/>
          <w:color w:val="000000"/>
          <w:sz w:val="26"/>
        </w:rPr>
        <w:t>Closing</w:t>
      </w:r>
    </w:p>
    <w:p w14:paraId="5323A5F4" w14:textId="77777777" w:rsidR="005041AE" w:rsidRDefault="00A94970">
      <w:r>
        <w:rPr>
          <w:sz w:val="22"/>
        </w:rPr>
        <w:t>Charm plans to continue sourcing and accounting for this feedstock as described above and welcomes any questions Isometric has.</w:t>
      </w:r>
    </w:p>
    <w:sectPr w:rsidR="005041A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406D4B"/>
    <w:multiLevelType w:val="hybridMultilevel"/>
    <w:tmpl w:val="6ED67578"/>
    <w:lvl w:ilvl="0" w:tplc="18E0A41C">
      <w:start w:val="1"/>
      <w:numFmt w:val="bullet"/>
      <w:lvlText w:val="●"/>
      <w:lvlJc w:val="left"/>
      <w:pPr>
        <w:ind w:left="720" w:hanging="360"/>
      </w:pPr>
    </w:lvl>
    <w:lvl w:ilvl="1" w:tplc="65724D70">
      <w:start w:val="1"/>
      <w:numFmt w:val="bullet"/>
      <w:lvlText w:val="○"/>
      <w:lvlJc w:val="left"/>
      <w:pPr>
        <w:ind w:left="1440" w:hanging="360"/>
      </w:pPr>
    </w:lvl>
    <w:lvl w:ilvl="2" w:tplc="49C2002A">
      <w:start w:val="1"/>
      <w:numFmt w:val="bullet"/>
      <w:lvlText w:val="■"/>
      <w:lvlJc w:val="left"/>
      <w:pPr>
        <w:ind w:left="2160" w:hanging="360"/>
      </w:pPr>
    </w:lvl>
    <w:lvl w:ilvl="3" w:tplc="B798CAA4">
      <w:start w:val="1"/>
      <w:numFmt w:val="bullet"/>
      <w:lvlText w:val="●"/>
      <w:lvlJc w:val="left"/>
      <w:pPr>
        <w:ind w:left="2880" w:hanging="360"/>
      </w:pPr>
    </w:lvl>
    <w:lvl w:ilvl="4" w:tplc="7A6C1D88">
      <w:start w:val="1"/>
      <w:numFmt w:val="bullet"/>
      <w:lvlText w:val="○"/>
      <w:lvlJc w:val="left"/>
      <w:pPr>
        <w:ind w:left="3600" w:hanging="360"/>
      </w:pPr>
    </w:lvl>
    <w:lvl w:ilvl="5" w:tplc="2AA44FF8">
      <w:start w:val="1"/>
      <w:numFmt w:val="bullet"/>
      <w:lvlText w:val="■"/>
      <w:lvlJc w:val="left"/>
      <w:pPr>
        <w:ind w:left="4320" w:hanging="360"/>
      </w:pPr>
    </w:lvl>
    <w:lvl w:ilvl="6" w:tplc="2CF2CB0C">
      <w:start w:val="1"/>
      <w:numFmt w:val="bullet"/>
      <w:lvlText w:val="●"/>
      <w:lvlJc w:val="left"/>
      <w:pPr>
        <w:ind w:left="5040" w:hanging="360"/>
      </w:pPr>
    </w:lvl>
    <w:lvl w:ilvl="7" w:tplc="30442E0C">
      <w:start w:val="1"/>
      <w:numFmt w:val="bullet"/>
      <w:lvlText w:val="●"/>
      <w:lvlJc w:val="left"/>
      <w:pPr>
        <w:ind w:left="5760" w:hanging="360"/>
      </w:pPr>
    </w:lvl>
    <w:lvl w:ilvl="8" w:tplc="CA62BC4C">
      <w:start w:val="1"/>
      <w:numFmt w:val="bullet"/>
      <w:lvlText w:val="●"/>
      <w:lvlJc w:val="left"/>
      <w:pPr>
        <w:ind w:left="6480" w:hanging="360"/>
      </w:pPr>
    </w:lvl>
  </w:abstractNum>
  <w:num w:numId="1" w16cid:durableId="11449324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1C5"/>
    <w:rsid w:val="00164194"/>
    <w:rsid w:val="00174CD5"/>
    <w:rsid w:val="001861C5"/>
    <w:rsid w:val="005041AE"/>
    <w:rsid w:val="00684EDC"/>
    <w:rsid w:val="0077768E"/>
    <w:rsid w:val="00944F0E"/>
    <w:rsid w:val="009F13B0"/>
    <w:rsid w:val="00A94970"/>
    <w:rsid w:val="00AF4DAE"/>
    <w:rsid w:val="00B52223"/>
    <w:rsid w:val="00CF5861"/>
    <w:rsid w:val="00E826D3"/>
    <w:rsid w:val="00FD1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1E3950"/>
  <w15:docId w15:val="{FFFB3A64-5D73-1F48-A224-360FA9BBD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Bernard Lavine</cp:lastModifiedBy>
  <cp:revision>7</cp:revision>
  <dcterms:created xsi:type="dcterms:W3CDTF">2026-09-22T18:40:00Z</dcterms:created>
  <dcterms:modified xsi:type="dcterms:W3CDTF">2026-09-25T20:18:00Z</dcterms:modified>
</cp:coreProperties>
</file>