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01D5688" w14:textId="77777777" w:rsidR="004876B0" w:rsidRDefault="00000000">
      <w:pPr>
        <w:spacing w:after="40"/>
      </w:pPr>
      <w:r>
        <w:rPr>
          <w:rFonts w:ascii="Times New Roman" w:eastAsia="Times New Roman" w:hAnsi="Times New Roman" w:cs="Times New Roman"/>
          <w:b/>
          <w:color w:val="000000"/>
          <w:sz w:val="28"/>
        </w:rPr>
        <w:t>Notice: AECN Feedstock Configuration Change</w:t>
      </w:r>
    </w:p>
    <w:p w14:paraId="208D6518" w14:textId="77777777" w:rsidR="004876B0" w:rsidRDefault="00000000">
      <w:pPr>
        <w:spacing w:after="40"/>
      </w:pPr>
      <w:r>
        <w:rPr>
          <w:rFonts w:ascii="Times New Roman" w:eastAsia="Times New Roman" w:hAnsi="Times New Roman" w:cs="Times New Roman"/>
          <w:color w:val="000000"/>
        </w:rPr>
        <w:t>Date: September 25, 2026</w:t>
      </w:r>
    </w:p>
    <w:p w14:paraId="6B6BFA58" w14:textId="77777777" w:rsidR="004876B0" w:rsidRDefault="00000000">
      <w:pPr>
        <w:spacing w:after="40"/>
      </w:pPr>
      <w:r>
        <w:rPr>
          <w:rFonts w:ascii="Times New Roman" w:eastAsia="Times New Roman" w:hAnsi="Times New Roman" w:cs="Times New Roman"/>
          <w:color w:val="000000"/>
        </w:rPr>
        <w:t>From: Max Lavine, Charm Industrial</w:t>
      </w:r>
    </w:p>
    <w:p w14:paraId="286FFDC1" w14:textId="77777777" w:rsidR="004876B0" w:rsidRDefault="00000000">
      <w:pPr>
        <w:spacing w:after="200"/>
      </w:pPr>
      <w:r>
        <w:rPr>
          <w:rFonts w:ascii="Times New Roman" w:eastAsia="Times New Roman" w:hAnsi="Times New Roman" w:cs="Times New Roman"/>
          <w:color w:val="000000"/>
        </w:rPr>
        <w:t>To: Isometric</w:t>
      </w:r>
    </w:p>
    <w:p w14:paraId="6B668B49" w14:textId="77777777" w:rsidR="004876B0" w:rsidRDefault="00000000">
      <w:pPr>
        <w:keepNext/>
        <w:spacing w:before="120" w:after="60"/>
      </w:pPr>
      <w:r>
        <w:rPr>
          <w:rFonts w:ascii="Times New Roman" w:eastAsia="Times New Roman" w:hAnsi="Times New Roman" w:cs="Times New Roman"/>
          <w:b/>
          <w:color w:val="000000"/>
          <w:sz w:val="26"/>
        </w:rPr>
        <w:t>Purpose</w:t>
      </w:r>
    </w:p>
    <w:p w14:paraId="57FA55DF" w14:textId="77777777" w:rsidR="004876B0" w:rsidRDefault="00000000">
      <w:pPr>
        <w:spacing w:after="100"/>
      </w:pPr>
      <w:r>
        <w:rPr>
          <w:rFonts w:ascii="Times New Roman" w:eastAsia="Times New Roman" w:hAnsi="Times New Roman" w:cs="Times New Roman"/>
          <w:color w:val="000000"/>
        </w:rPr>
        <w:t>This notice covers a change to sawmill-residue feedstock sourcing for the AECN bio-oil already accounted for in Charm's PDD. Charm is flagging it for the record. No action is required.</w:t>
      </w:r>
    </w:p>
    <w:p w14:paraId="39BD2A7F" w14:textId="77777777" w:rsidR="004876B0" w:rsidRDefault="00000000">
      <w:pPr>
        <w:keepNext/>
        <w:spacing w:before="120" w:after="60"/>
      </w:pPr>
      <w:r>
        <w:rPr>
          <w:rFonts w:ascii="Times New Roman" w:eastAsia="Times New Roman" w:hAnsi="Times New Roman" w:cs="Times New Roman"/>
          <w:b/>
          <w:color w:val="000000"/>
          <w:sz w:val="26"/>
        </w:rPr>
        <w:t>What Is Changing</w:t>
      </w:r>
    </w:p>
    <w:p w14:paraId="291425DA" w14:textId="77777777" w:rsidR="004876B0" w:rsidRDefault="00000000">
      <w:pPr>
        <w:spacing w:after="100"/>
      </w:pPr>
      <w:r>
        <w:rPr>
          <w:rFonts w:ascii="Times New Roman" w:eastAsia="Times New Roman" w:hAnsi="Times New Roman" w:cs="Times New Roman"/>
          <w:color w:val="000000"/>
        </w:rPr>
        <w:t>This past Spring, the Arbec sawmill at Port-Cartier, QC paused production due to tariff-induced pressure on the Canadian lumber industry, with an anticipated re-start in the Fall. At that time, AECN had a sufficient inventory of recently-produced sawmill residues that continued production of bio-oil would not be an issue during the pause at the mill. However, AECN has recently advised that the mill will not restart lumber production for now as planned, citing ongoing trade disputes.</w:t>
      </w:r>
    </w:p>
    <w:p w14:paraId="45ABF569" w14:textId="77777777" w:rsidR="00A82132" w:rsidRDefault="00000000">
      <w:pPr>
        <w:spacing w:after="100"/>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mill has a considerable inventory of merchantable logs, harvested in 2024-25 in the Port-Cartier forest management unit (UA09471). The logs are approximately 20.5 feet and, under normal circumstances, are cut to 10-foot lengths for processing at Port Cartier. However, the economically viable option for processing that inventory under current conditions is to cut them to 16 ft at Port-Cartier and truck them to the Domtar mill at Baie-Comeau, which cuts to a 16 ft standard and continues operating. </w:t>
      </w:r>
    </w:p>
    <w:p w14:paraId="04FCDC43" w14:textId="77F7EED0" w:rsidR="004876B0" w:rsidRDefault="00000000">
      <w:pPr>
        <w:spacing w:after="100"/>
      </w:pPr>
      <w:r>
        <w:rPr>
          <w:rFonts w:ascii="Times New Roman" w:eastAsia="Times New Roman" w:hAnsi="Times New Roman" w:cs="Times New Roman"/>
          <w:color w:val="000000"/>
        </w:rPr>
        <w:t>The resulting log ends, about 4.5 ft per log, are shorter than either mill's lumber standard (10 ft at Arbec, 16 ft at Baie-Comeau) and thus have no economically viable use. As with other non-merchantable residues Arbec chips them at Port-Cartier, in line with historical practices of onsite chipping and piling</w:t>
      </w:r>
      <w:r w:rsidR="00A82132">
        <w:rPr>
          <w:rFonts w:ascii="Times New Roman" w:eastAsia="Times New Roman" w:hAnsi="Times New Roman" w:cs="Times New Roman"/>
          <w:color w:val="000000"/>
        </w:rPr>
        <w:t xml:space="preserve"> for </w:t>
      </w:r>
      <w:r w:rsidR="00921B4A">
        <w:rPr>
          <w:rFonts w:ascii="Times New Roman" w:eastAsia="Times New Roman" w:hAnsi="Times New Roman" w:cs="Times New Roman"/>
          <w:color w:val="000000"/>
        </w:rPr>
        <w:t>storage and</w:t>
      </w:r>
      <w:r>
        <w:rPr>
          <w:rFonts w:ascii="Times New Roman" w:eastAsia="Times New Roman" w:hAnsi="Times New Roman" w:cs="Times New Roman"/>
          <w:color w:val="000000"/>
        </w:rPr>
        <w:t xml:space="preserve"> sells the chips to AECN as sawmill co-product. The same wood is processed by the same value chain; only the log spec and the location of final lumber processing change. Residues from the processing of Arbec logs at Baie-Comeau may also be used, as they are also generated by the same biomass and production process as would have otherwise occurred at Arbec under other circumstances.</w:t>
      </w:r>
    </w:p>
    <w:p w14:paraId="739AB56D" w14:textId="77777777" w:rsidR="004876B0" w:rsidRDefault="00000000">
      <w:pPr>
        <w:spacing w:after="100"/>
      </w:pPr>
      <w:r>
        <w:rPr>
          <w:rFonts w:ascii="Times New Roman" w:eastAsia="Times New Roman" w:hAnsi="Times New Roman" w:cs="Times New Roman"/>
          <w:color w:val="000000"/>
        </w:rPr>
        <w:t>This reconfiguration is AECN and Arbec's most economically viable way to monetize the log inventory. AECN told ECCC that absent a lumber outlet found quickly, the logs risk degrading to the point of losing all monetary value, and that 16-foot lumber commands higher market prices than the 10 ft standard Arbec produces.</w:t>
      </w:r>
    </w:p>
    <w:p w14:paraId="112F148E" w14:textId="77777777" w:rsidR="004876B0" w:rsidRDefault="00000000">
      <w:pPr>
        <w:spacing w:after="100"/>
      </w:pPr>
      <w:r>
        <w:rPr>
          <w:rFonts w:ascii="Times New Roman" w:eastAsia="Times New Roman" w:hAnsi="Times New Roman" w:cs="Times New Roman"/>
          <w:color w:val="000000"/>
        </w:rPr>
        <w:t>ECCC's Low Carbon Fuels Division confirmed on 16 September 2026 that the log-end chips may be modeled as sawmill co-products under the Clean Fuel Regulations, limited to the 2024-25 harvest from the Port-Cartier forest management unit (UA09471). The correspondence is attached.</w:t>
      </w:r>
    </w:p>
    <w:p w14:paraId="56344C19" w14:textId="77777777" w:rsidR="004876B0" w:rsidRDefault="00000000">
      <w:pPr>
        <w:keepNext/>
        <w:spacing w:before="120" w:after="60"/>
      </w:pPr>
      <w:r>
        <w:rPr>
          <w:rFonts w:ascii="Times New Roman" w:eastAsia="Times New Roman" w:hAnsi="Times New Roman" w:cs="Times New Roman"/>
          <w:b/>
          <w:color w:val="000000"/>
          <w:sz w:val="26"/>
        </w:rPr>
        <w:t>What Is Not Changing</w:t>
      </w:r>
    </w:p>
    <w:p w14:paraId="2F5843FC" w14:textId="77777777" w:rsidR="004876B0" w:rsidRDefault="00000000">
      <w:pPr>
        <w:spacing w:after="100"/>
        <w:rPr>
          <w:rFonts w:ascii="Times New Roman" w:eastAsia="Times New Roman" w:hAnsi="Times New Roman" w:cs="Times New Roman"/>
          <w:color w:val="000000"/>
        </w:rPr>
      </w:pPr>
      <w:r>
        <w:rPr>
          <w:rFonts w:ascii="Times New Roman" w:eastAsia="Times New Roman" w:hAnsi="Times New Roman" w:cs="Times New Roman"/>
          <w:color w:val="000000"/>
        </w:rPr>
        <w:t>The trees, the forest management unit, and the Groupe Remabec/AECN value chain are unchanged. The Port-Cartier log ends are sawmill residue from the same lumber processing the PDD already accounts for, under the same provincially managed forest. Chipping odd lengths of wood from logs cut to spec is the standard practice for onsite storage. So, absent an offtaker, this material has no other disposition and would otherwise accumulate, as the existing sawdust pile at the site demonstrates.</w:t>
      </w:r>
    </w:p>
    <w:p w14:paraId="35DD0A35" w14:textId="77777777" w:rsidR="007F0BE8" w:rsidRDefault="007F0BE8">
      <w:pPr>
        <w:spacing w:after="100"/>
      </w:pPr>
    </w:p>
    <w:p w14:paraId="6834D969" w14:textId="77777777" w:rsidR="004876B0" w:rsidRDefault="00000000">
      <w:pPr>
        <w:keepNext/>
        <w:spacing w:before="120" w:after="60"/>
      </w:pPr>
      <w:r>
        <w:rPr>
          <w:rFonts w:ascii="Times New Roman" w:eastAsia="Times New Roman" w:hAnsi="Times New Roman" w:cs="Times New Roman"/>
          <w:b/>
          <w:color w:val="000000"/>
          <w:sz w:val="26"/>
        </w:rPr>
        <w:lastRenderedPageBreak/>
        <w:t>Eligibility and Counterfactual</w:t>
      </w:r>
    </w:p>
    <w:p w14:paraId="4E857A32" w14:textId="77777777" w:rsidR="004876B0" w:rsidRDefault="00000000">
      <w:pPr>
        <w:keepNext/>
        <w:spacing w:after="100"/>
      </w:pPr>
      <w:r>
        <w:rPr>
          <w:rFonts w:ascii="Times New Roman" w:eastAsia="Times New Roman" w:hAnsi="Times New Roman" w:cs="Times New Roman"/>
          <w:color w:val="000000"/>
        </w:rPr>
        <w:t>This feedstock was validated under Biomass Feedstock Accounting v1.1 (https://registry.isometric.com/module/biomass-feedstock-accounting/1.1), and this change is assessed against that version's requirements.</w:t>
      </w:r>
    </w:p>
    <w:tbl>
      <w:tblPr>
        <w:tblW w:w="0" w:type="auto"/>
        <w:jc w:val="center"/>
        <w:tblLayout w:type="fixed"/>
        <w:tblLook w:val="04A0" w:firstRow="1" w:lastRow="0" w:firstColumn="1" w:lastColumn="0" w:noHBand="0" w:noVBand="1"/>
      </w:tblPr>
      <w:tblGrid>
        <w:gridCol w:w="1872"/>
        <w:gridCol w:w="5328"/>
        <w:gridCol w:w="2160"/>
      </w:tblGrid>
      <w:tr w:rsidR="004876B0" w14:paraId="2856D257" w14:textId="77777777">
        <w:trPr>
          <w:cantSplit/>
          <w:tblHeader/>
          <w:jc w:val="center"/>
        </w:trPr>
        <w:tc>
          <w:tcPr>
            <w:tcW w:w="1872" w:type="dxa"/>
            <w:tcBorders>
              <w:top w:val="single" w:sz="4" w:space="0" w:color="000000"/>
              <w:left w:val="single" w:sz="4" w:space="0" w:color="000000"/>
              <w:bottom w:val="single" w:sz="4" w:space="0" w:color="000000"/>
              <w:right w:val="single" w:sz="4" w:space="0" w:color="000000"/>
            </w:tcBorders>
            <w:shd w:val="clear" w:color="auto" w:fill="D9D9D9"/>
          </w:tcPr>
          <w:p w14:paraId="71AD9CF6" w14:textId="77777777" w:rsidR="004876B0" w:rsidRDefault="00000000">
            <w:pPr>
              <w:keepNext/>
              <w:spacing w:after="40"/>
            </w:pPr>
            <w:r>
              <w:rPr>
                <w:rFonts w:ascii="Times New Roman" w:eastAsia="Times New Roman" w:hAnsi="Times New Roman" w:cs="Times New Roman"/>
                <w:b/>
                <w:color w:val="000000"/>
                <w:sz w:val="20"/>
              </w:rPr>
              <w:t>Criterion (v1.1)</w:t>
            </w:r>
          </w:p>
        </w:tc>
        <w:tc>
          <w:tcPr>
            <w:tcW w:w="5328" w:type="dxa"/>
            <w:tcBorders>
              <w:top w:val="single" w:sz="4" w:space="0" w:color="000000"/>
              <w:left w:val="single" w:sz="4" w:space="0" w:color="000000"/>
              <w:bottom w:val="single" w:sz="4" w:space="0" w:color="000000"/>
              <w:right w:val="single" w:sz="4" w:space="0" w:color="000000"/>
            </w:tcBorders>
            <w:shd w:val="clear" w:color="auto" w:fill="D9D9D9"/>
          </w:tcPr>
          <w:p w14:paraId="2C6B908A" w14:textId="77777777" w:rsidR="004876B0" w:rsidRDefault="00000000">
            <w:pPr>
              <w:keepNext/>
              <w:spacing w:after="40"/>
            </w:pPr>
            <w:r>
              <w:rPr>
                <w:rFonts w:ascii="Times New Roman" w:eastAsia="Times New Roman" w:hAnsi="Times New Roman" w:cs="Times New Roman"/>
                <w:b/>
                <w:color w:val="000000"/>
                <w:sz w:val="20"/>
              </w:rPr>
              <w:t>What the PDD says</w:t>
            </w:r>
          </w:p>
        </w:tc>
        <w:tc>
          <w:tcPr>
            <w:tcW w:w="2160" w:type="dxa"/>
            <w:tcBorders>
              <w:top w:val="single" w:sz="4" w:space="0" w:color="000000"/>
              <w:left w:val="single" w:sz="4" w:space="0" w:color="000000"/>
              <w:bottom w:val="single" w:sz="4" w:space="0" w:color="000000"/>
              <w:right w:val="single" w:sz="4" w:space="0" w:color="000000"/>
            </w:tcBorders>
            <w:shd w:val="clear" w:color="auto" w:fill="D9D9D9"/>
          </w:tcPr>
          <w:p w14:paraId="3594CBAF" w14:textId="77777777" w:rsidR="004876B0" w:rsidRDefault="00000000">
            <w:pPr>
              <w:keepNext/>
              <w:spacing w:after="40"/>
            </w:pPr>
            <w:r>
              <w:rPr>
                <w:rFonts w:ascii="Times New Roman" w:eastAsia="Times New Roman" w:hAnsi="Times New Roman" w:cs="Times New Roman"/>
                <w:b/>
                <w:color w:val="000000"/>
                <w:sz w:val="20"/>
              </w:rPr>
              <w:t>Changed by the new configuration?</w:t>
            </w:r>
          </w:p>
        </w:tc>
      </w:tr>
      <w:tr w:rsidR="004876B0" w14:paraId="697DE5DE" w14:textId="77777777">
        <w:trPr>
          <w:cantSplit/>
          <w:jc w:val="center"/>
        </w:trPr>
        <w:tc>
          <w:tcPr>
            <w:tcW w:w="1872" w:type="dxa"/>
            <w:tcBorders>
              <w:top w:val="single" w:sz="4" w:space="0" w:color="000000"/>
              <w:left w:val="single" w:sz="4" w:space="0" w:color="000000"/>
              <w:bottom w:val="single" w:sz="4" w:space="0" w:color="000000"/>
              <w:right w:val="single" w:sz="4" w:space="0" w:color="000000"/>
            </w:tcBorders>
          </w:tcPr>
          <w:p w14:paraId="25D01E50" w14:textId="77777777" w:rsidR="004876B0" w:rsidRDefault="00000000">
            <w:pPr>
              <w:keepNext/>
              <w:spacing w:after="40"/>
            </w:pPr>
            <w:r>
              <w:rPr>
                <w:rFonts w:ascii="Times New Roman" w:eastAsia="Times New Roman" w:hAnsi="Times New Roman" w:cs="Times New Roman"/>
                <w:color w:val="000000"/>
                <w:sz w:val="20"/>
              </w:rPr>
              <w:t>EC5. Market leakage</w:t>
            </w:r>
          </w:p>
        </w:tc>
        <w:tc>
          <w:tcPr>
            <w:tcW w:w="5328" w:type="dxa"/>
            <w:tcBorders>
              <w:top w:val="single" w:sz="4" w:space="0" w:color="000000"/>
              <w:left w:val="single" w:sz="4" w:space="0" w:color="000000"/>
              <w:bottom w:val="single" w:sz="4" w:space="0" w:color="000000"/>
              <w:right w:val="single" w:sz="4" w:space="0" w:color="000000"/>
            </w:tcBorders>
          </w:tcPr>
          <w:p w14:paraId="3C279A36" w14:textId="77777777" w:rsidR="004876B0" w:rsidRDefault="00000000">
            <w:pPr>
              <w:keepNext/>
              <w:spacing w:after="40"/>
            </w:pPr>
            <w:r>
              <w:rPr>
                <w:rFonts w:ascii="Times New Roman" w:eastAsia="Times New Roman" w:hAnsi="Times New Roman" w:cs="Times New Roman"/>
                <w:color w:val="000000"/>
                <w:sz w:val="20"/>
              </w:rPr>
              <w:t>Groupe Remabec, which is a parent company of AECN, harvests trees from publicly-owned forests in accordance with rights granted by the Province of Quebec under the Provincial Management Plan provided as supporting documentation for this Project. The harvest activity is also SFI-certified through the Bureau de Normalisation du Québec, a copy of the certificate is provided as additional documentation.</w:t>
            </w:r>
          </w:p>
        </w:tc>
        <w:tc>
          <w:tcPr>
            <w:tcW w:w="2160" w:type="dxa"/>
            <w:tcBorders>
              <w:top w:val="single" w:sz="4" w:space="0" w:color="000000"/>
              <w:left w:val="single" w:sz="4" w:space="0" w:color="000000"/>
              <w:bottom w:val="single" w:sz="4" w:space="0" w:color="000000"/>
              <w:right w:val="single" w:sz="4" w:space="0" w:color="000000"/>
            </w:tcBorders>
          </w:tcPr>
          <w:p w14:paraId="5653D777" w14:textId="77777777" w:rsidR="004876B0" w:rsidRDefault="00000000">
            <w:pPr>
              <w:keepNext/>
              <w:spacing w:after="40"/>
            </w:pPr>
            <w:r>
              <w:rPr>
                <w:rFonts w:ascii="Times New Roman" w:eastAsia="Times New Roman" w:hAnsi="Times New Roman" w:cs="Times New Roman"/>
                <w:color w:val="000000"/>
                <w:sz w:val="20"/>
              </w:rPr>
              <w:t>No. Same logs, same forest management unit (UA09471), same harvester and certification.</w:t>
            </w:r>
          </w:p>
        </w:tc>
      </w:tr>
      <w:tr w:rsidR="004876B0" w14:paraId="72ABA35D" w14:textId="77777777">
        <w:trPr>
          <w:cantSplit/>
          <w:jc w:val="center"/>
        </w:trPr>
        <w:tc>
          <w:tcPr>
            <w:tcW w:w="1872" w:type="dxa"/>
            <w:tcBorders>
              <w:top w:val="single" w:sz="4" w:space="0" w:color="000000"/>
              <w:left w:val="single" w:sz="4" w:space="0" w:color="000000"/>
              <w:bottom w:val="single" w:sz="4" w:space="0" w:color="000000"/>
              <w:right w:val="single" w:sz="4" w:space="0" w:color="000000"/>
            </w:tcBorders>
          </w:tcPr>
          <w:p w14:paraId="1DE8563C" w14:textId="77777777" w:rsidR="004876B0" w:rsidRDefault="00000000">
            <w:pPr>
              <w:spacing w:after="40"/>
            </w:pPr>
            <w:r>
              <w:rPr>
                <w:rFonts w:ascii="Times New Roman" w:eastAsia="Times New Roman" w:hAnsi="Times New Roman" w:cs="Times New Roman"/>
                <w:color w:val="000000"/>
                <w:sz w:val="20"/>
              </w:rPr>
              <w:t>C1. Replacement emissions</w:t>
            </w:r>
          </w:p>
        </w:tc>
        <w:tc>
          <w:tcPr>
            <w:tcW w:w="5328" w:type="dxa"/>
            <w:tcBorders>
              <w:top w:val="single" w:sz="4" w:space="0" w:color="000000"/>
              <w:left w:val="single" w:sz="4" w:space="0" w:color="000000"/>
              <w:bottom w:val="single" w:sz="4" w:space="0" w:color="000000"/>
              <w:right w:val="single" w:sz="4" w:space="0" w:color="000000"/>
            </w:tcBorders>
          </w:tcPr>
          <w:p w14:paraId="7540F471" w14:textId="77777777" w:rsidR="004876B0" w:rsidRDefault="00000000">
            <w:pPr>
              <w:spacing w:after="40"/>
            </w:pPr>
            <w:r>
              <w:rPr>
                <w:rFonts w:ascii="Times New Roman" w:eastAsia="Times New Roman" w:hAnsi="Times New Roman" w:cs="Times New Roman"/>
                <w:color w:val="000000"/>
                <w:sz w:val="20"/>
              </w:rPr>
              <w:t>Feedstock is a waste product from commercial activities that would have been carried out absent the project. The supplier developed pyrolysis capacity as a solution to excessive residue accumulation. Therefore replacement emissions are considered 0 based on Biomass Feedstock Sourcing criterion C1: The feedstock currently serves no purpose.</w:t>
            </w:r>
          </w:p>
        </w:tc>
        <w:tc>
          <w:tcPr>
            <w:tcW w:w="2160" w:type="dxa"/>
            <w:tcBorders>
              <w:top w:val="single" w:sz="4" w:space="0" w:color="000000"/>
              <w:left w:val="single" w:sz="4" w:space="0" w:color="000000"/>
              <w:bottom w:val="single" w:sz="4" w:space="0" w:color="000000"/>
              <w:right w:val="single" w:sz="4" w:space="0" w:color="000000"/>
            </w:tcBorders>
          </w:tcPr>
          <w:p w14:paraId="57EE792D" w14:textId="77777777" w:rsidR="004876B0" w:rsidRDefault="00000000">
            <w:pPr>
              <w:spacing w:after="40"/>
            </w:pPr>
            <w:r>
              <w:rPr>
                <w:rFonts w:ascii="Times New Roman" w:eastAsia="Times New Roman" w:hAnsi="Times New Roman" w:cs="Times New Roman"/>
                <w:color w:val="000000"/>
                <w:sz w:val="20"/>
              </w:rPr>
              <w:t>No. The log ends have no economically viable use and are chipped and piled as before.</w:t>
            </w:r>
          </w:p>
        </w:tc>
      </w:tr>
      <w:tr w:rsidR="004876B0" w14:paraId="2C29E81C" w14:textId="77777777">
        <w:trPr>
          <w:cantSplit/>
          <w:jc w:val="center"/>
        </w:trPr>
        <w:tc>
          <w:tcPr>
            <w:tcW w:w="1872" w:type="dxa"/>
            <w:tcBorders>
              <w:top w:val="single" w:sz="4" w:space="0" w:color="000000"/>
              <w:left w:val="single" w:sz="4" w:space="0" w:color="000000"/>
              <w:bottom w:val="single" w:sz="4" w:space="0" w:color="000000"/>
              <w:right w:val="single" w:sz="4" w:space="0" w:color="000000"/>
            </w:tcBorders>
          </w:tcPr>
          <w:p w14:paraId="3DA715D4" w14:textId="77777777" w:rsidR="004876B0" w:rsidRDefault="00000000">
            <w:pPr>
              <w:spacing w:after="40"/>
            </w:pPr>
            <w:r>
              <w:rPr>
                <w:rFonts w:ascii="Times New Roman" w:eastAsia="Times New Roman" w:hAnsi="Times New Roman" w:cs="Times New Roman"/>
                <w:color w:val="000000"/>
                <w:sz w:val="20"/>
              </w:rPr>
              <w:t>EC10. Counterfactual storage (cited as EC13 in the PDD)</w:t>
            </w:r>
          </w:p>
        </w:tc>
        <w:tc>
          <w:tcPr>
            <w:tcW w:w="5328" w:type="dxa"/>
            <w:tcBorders>
              <w:top w:val="single" w:sz="4" w:space="0" w:color="000000"/>
              <w:left w:val="single" w:sz="4" w:space="0" w:color="000000"/>
              <w:bottom w:val="single" w:sz="4" w:space="0" w:color="000000"/>
              <w:right w:val="single" w:sz="4" w:space="0" w:color="000000"/>
            </w:tcBorders>
          </w:tcPr>
          <w:p w14:paraId="4DFD4732" w14:textId="77777777" w:rsidR="004876B0" w:rsidRDefault="00000000">
            <w:pPr>
              <w:spacing w:after="40"/>
            </w:pPr>
            <w:r>
              <w:rPr>
                <w:rFonts w:ascii="Times New Roman" w:eastAsia="Times New Roman" w:hAnsi="Times New Roman" w:cs="Times New Roman"/>
                <w:color w:val="000000"/>
                <w:sz w:val="20"/>
              </w:rPr>
              <w:t>Using this as a benchmark, the total CO2e released by decomposing wood within 15 years, from emission of CO2 and CH4, would exceed the total stored carbon of the wood. Additionally, at a 24% decay rate, after 50 years the piled woody material would have effectively decayed entirely. For this reason, we are assigning the sawmill residues used by AECN as a pyrolysis feedstock a counterfactual storage discount of 0.</w:t>
            </w:r>
          </w:p>
        </w:tc>
        <w:tc>
          <w:tcPr>
            <w:tcW w:w="2160" w:type="dxa"/>
            <w:tcBorders>
              <w:top w:val="single" w:sz="4" w:space="0" w:color="000000"/>
              <w:left w:val="single" w:sz="4" w:space="0" w:color="000000"/>
              <w:bottom w:val="single" w:sz="4" w:space="0" w:color="000000"/>
              <w:right w:val="single" w:sz="4" w:space="0" w:color="000000"/>
            </w:tcBorders>
          </w:tcPr>
          <w:p w14:paraId="08A1398F" w14:textId="009159F6" w:rsidR="004876B0" w:rsidRDefault="00000000">
            <w:pPr>
              <w:spacing w:after="40"/>
            </w:pPr>
            <w:r>
              <w:rPr>
                <w:rFonts w:ascii="Times New Roman" w:eastAsia="Times New Roman" w:hAnsi="Times New Roman" w:cs="Times New Roman"/>
                <w:color w:val="000000"/>
                <w:sz w:val="20"/>
              </w:rPr>
              <w:t xml:space="preserve">No. </w:t>
            </w:r>
            <w:r w:rsidR="00B33383">
              <w:rPr>
                <w:rFonts w:ascii="Times New Roman" w:eastAsia="Times New Roman" w:hAnsi="Times New Roman" w:cs="Times New Roman"/>
                <w:color w:val="000000"/>
                <w:sz w:val="20"/>
              </w:rPr>
              <w:t>Residue management has not changed, so the s</w:t>
            </w:r>
            <w:r>
              <w:rPr>
                <w:rFonts w:ascii="Times New Roman" w:eastAsia="Times New Roman" w:hAnsi="Times New Roman" w:cs="Times New Roman"/>
                <w:color w:val="000000"/>
                <w:sz w:val="20"/>
              </w:rPr>
              <w:t>ame pile fate as the validated sawdust and shavings, the decay analysis applies unchanged.</w:t>
            </w:r>
          </w:p>
        </w:tc>
      </w:tr>
    </w:tbl>
    <w:p w14:paraId="5EBA46BF" w14:textId="77777777" w:rsidR="004876B0" w:rsidRDefault="00000000">
      <w:pPr>
        <w:keepNext/>
        <w:spacing w:before="120" w:after="60"/>
      </w:pPr>
      <w:r>
        <w:rPr>
          <w:rFonts w:ascii="Times New Roman" w:eastAsia="Times New Roman" w:hAnsi="Times New Roman" w:cs="Times New Roman"/>
          <w:b/>
          <w:color w:val="000000"/>
          <w:sz w:val="26"/>
        </w:rPr>
        <w:t>LCA Treatment</w:t>
      </w:r>
    </w:p>
    <w:p w14:paraId="2B38FFA7" w14:textId="77777777" w:rsidR="004876B0" w:rsidRDefault="00000000">
      <w:pPr>
        <w:spacing w:after="100"/>
        <w:rPr>
          <w:rFonts w:ascii="Times New Roman" w:eastAsia="Times New Roman" w:hAnsi="Times New Roman" w:cs="Times New Roman"/>
          <w:color w:val="000000"/>
        </w:rPr>
      </w:pPr>
      <w:r>
        <w:rPr>
          <w:rFonts w:ascii="Times New Roman" w:eastAsia="Times New Roman" w:hAnsi="Times New Roman" w:cs="Times New Roman"/>
          <w:color w:val="000000"/>
        </w:rPr>
        <w:t>Charm will add the Port-Cartier to Baie-Comeau transport leg to the project's emissions accounting, applied conservatively across the full feedstock mass, in AECN's next life-cycle carbon-intensity update.</w:t>
      </w:r>
    </w:p>
    <w:p w14:paraId="7D76D741" w14:textId="77777777" w:rsidR="00B33383" w:rsidRDefault="00B33383">
      <w:pPr>
        <w:spacing w:after="100"/>
      </w:pPr>
    </w:p>
    <w:p w14:paraId="44B48395" w14:textId="77777777" w:rsidR="004876B0" w:rsidRDefault="00000000">
      <w:pPr>
        <w:keepNext/>
        <w:spacing w:before="120" w:after="60"/>
      </w:pPr>
      <w:r>
        <w:rPr>
          <w:rFonts w:ascii="Times New Roman" w:eastAsia="Times New Roman" w:hAnsi="Times New Roman" w:cs="Times New Roman"/>
          <w:b/>
          <w:color w:val="000000"/>
          <w:sz w:val="26"/>
        </w:rPr>
        <w:t>Documentation Charm Will Provide</w:t>
      </w:r>
    </w:p>
    <w:p w14:paraId="5C28C3C5" w14:textId="77777777" w:rsidR="004876B0" w:rsidRDefault="00000000">
      <w:pPr>
        <w:pStyle w:val="ListBullet"/>
        <w:spacing w:after="80"/>
      </w:pPr>
      <w:r>
        <w:rPr>
          <w:rFonts w:ascii="Times New Roman" w:eastAsia="Times New Roman" w:hAnsi="Times New Roman" w:cs="Times New Roman"/>
          <w:color w:val="000000"/>
        </w:rPr>
        <w:t>AECN's written feedstock plan, once received.</w:t>
      </w:r>
    </w:p>
    <w:p w14:paraId="22EB31D6" w14:textId="77777777" w:rsidR="004876B0" w:rsidRDefault="00000000">
      <w:pPr>
        <w:pStyle w:val="ListBullet"/>
        <w:spacing w:after="80"/>
      </w:pPr>
      <w:r>
        <w:rPr>
          <w:rFonts w:ascii="Times New Roman" w:eastAsia="Times New Roman" w:hAnsi="Times New Roman" w:cs="Times New Roman"/>
          <w:color w:val="000000"/>
        </w:rPr>
        <w:t>The Environment and Climate Change Canada correspondence referenced above: attached.</w:t>
      </w:r>
    </w:p>
    <w:p w14:paraId="32803781" w14:textId="7E5B1B1D" w:rsidR="00921B4A" w:rsidRDefault="00000000" w:rsidP="00921B4A">
      <w:pPr>
        <w:pStyle w:val="ListBullet"/>
        <w:spacing w:after="80"/>
      </w:pPr>
      <w:r>
        <w:rPr>
          <w:rFonts w:ascii="Times New Roman" w:eastAsia="Times New Roman" w:hAnsi="Times New Roman" w:cs="Times New Roman"/>
          <w:color w:val="000000"/>
        </w:rPr>
        <w:t>The updated AECN life-cycle carbon-intensity figure reflecting the added transport leg.</w:t>
      </w:r>
    </w:p>
    <w:p w14:paraId="4DF02017" w14:textId="77777777" w:rsidR="00921B4A" w:rsidRDefault="00921B4A" w:rsidP="00921B4A">
      <w:pPr>
        <w:pStyle w:val="ListBullet"/>
        <w:numPr>
          <w:ilvl w:val="0"/>
          <w:numId w:val="0"/>
        </w:numPr>
        <w:spacing w:after="80"/>
        <w:ind w:left="360" w:hanging="360"/>
      </w:pPr>
    </w:p>
    <w:p w14:paraId="407DD133" w14:textId="77777777" w:rsidR="004876B0" w:rsidRDefault="00000000">
      <w:pPr>
        <w:keepNext/>
        <w:spacing w:before="120" w:after="60"/>
      </w:pPr>
      <w:r>
        <w:rPr>
          <w:rFonts w:ascii="Times New Roman" w:eastAsia="Times New Roman" w:hAnsi="Times New Roman" w:cs="Times New Roman"/>
          <w:b/>
          <w:color w:val="000000"/>
          <w:sz w:val="26"/>
        </w:rPr>
        <w:t>Closing</w:t>
      </w:r>
    </w:p>
    <w:p w14:paraId="35CF6F43" w14:textId="77777777" w:rsidR="004876B0" w:rsidRDefault="00000000">
      <w:pPr>
        <w:spacing w:after="100"/>
      </w:pPr>
      <w:r>
        <w:rPr>
          <w:rFonts w:ascii="Times New Roman" w:eastAsia="Times New Roman" w:hAnsi="Times New Roman" w:cs="Times New Roman"/>
          <w:color w:val="000000"/>
        </w:rPr>
        <w:t>Charm plans to continue sourcing and accounting for this feedstock as described above and welcomes any questions Isometric has.</w:t>
      </w:r>
    </w:p>
    <w:sectPr w:rsidR="004876B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4411643">
    <w:abstractNumId w:val="8"/>
  </w:num>
  <w:num w:numId="2" w16cid:durableId="1227253963">
    <w:abstractNumId w:val="6"/>
  </w:num>
  <w:num w:numId="3" w16cid:durableId="2080981163">
    <w:abstractNumId w:val="5"/>
  </w:num>
  <w:num w:numId="4" w16cid:durableId="315039900">
    <w:abstractNumId w:val="4"/>
  </w:num>
  <w:num w:numId="5" w16cid:durableId="1306664599">
    <w:abstractNumId w:val="7"/>
  </w:num>
  <w:num w:numId="6" w16cid:durableId="1813398596">
    <w:abstractNumId w:val="3"/>
  </w:num>
  <w:num w:numId="7" w16cid:durableId="670723549">
    <w:abstractNumId w:val="2"/>
  </w:num>
  <w:num w:numId="8" w16cid:durableId="2114592759">
    <w:abstractNumId w:val="1"/>
  </w:num>
  <w:num w:numId="9" w16cid:durableId="209623966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61DD"/>
    <w:rsid w:val="0015074B"/>
    <w:rsid w:val="0029639D"/>
    <w:rsid w:val="00326F90"/>
    <w:rsid w:val="004876B0"/>
    <w:rsid w:val="0077768E"/>
    <w:rsid w:val="007F0BE8"/>
    <w:rsid w:val="00921B4A"/>
    <w:rsid w:val="00A82132"/>
    <w:rsid w:val="00AA1D8D"/>
    <w:rsid w:val="00B33383"/>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AA4820"/>
  <w14:defaultImageDpi w14:val="300"/>
  <w15:docId w15:val="{FFFB3A64-5D73-1F48-A224-360FA9BBD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Pages>
  <Words>842</Words>
  <Characters>4803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Max Bernard Lavine</cp:lastModifiedBy>
  <cp:revision>5</cp:revision>
  <cp:lastPrinted>2026-09-25T20:43:00Z</cp:lastPrinted>
  <dcterms:created xsi:type="dcterms:W3CDTF">2026-09-25T20:43:00Z</dcterms:created>
  <dcterms:modified xsi:type="dcterms:W3CDTF">2026-09-26T18:04:00Z</dcterms:modified>
  <cp:category/>
</cp:coreProperties>
</file>