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Ethanol Dilution Method for D-Series Bio-Oil: Carbon Overstatement Assessment</w:t>
      </w:r>
    </w:p>
    <w:p>
      <w:pPr>
        <w:spacing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To: </w:t>
      </w:r>
      <w:r>
        <w:rPr>
          <w:rFonts w:ascii="Arial" w:cs="Arial" w:eastAsia="Arial" w:hAnsi="Arial"/>
          <w:sz w:val="20"/>
          <w:szCs w:val="20"/>
        </w:rPr>
        <w:t xml:space="preserve">Isometric</w:t>
      </w:r>
    </w:p>
    <w:p>
      <w:pPr>
        <w:spacing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From: </w:t>
      </w:r>
      <w:r>
        <w:rPr>
          <w:rFonts w:ascii="Arial" w:cs="Arial" w:eastAsia="Arial" w:hAnsi="Arial"/>
          <w:sz w:val="20"/>
          <w:szCs w:val="20"/>
        </w:rPr>
        <w:t xml:space="preserve">Max Lavine, Carbon Protocol &amp; Verification Lead, Charm Industrial</w:t>
      </w:r>
    </w:p>
    <w:p>
      <w:pPr>
        <w:spacing w:after="10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</w:t>
      </w:r>
      <w:r>
        <w:rPr>
          <w:rFonts w:ascii="Arial" w:cs="Arial" w:eastAsia="Arial" w:hAnsi="Arial"/>
          <w:sz w:val="20"/>
          <w:szCs w:val="20"/>
        </w:rPr>
        <w:t xml:space="preserve">October 13, 2026</w:t>
      </w:r>
    </w:p>
    <w:p>
      <w:pPr>
        <w:pBdr>
          <w:bottom w:val="single" w:color="1F4E79" w:sz="6" w:space="2"/>
        </w:pBdr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Question</w:t>
      </w:r>
    </w:p>
    <w:p>
      <w:pPr>
        <w:spacing w:after="100" w:line="264"/>
      </w:pPr>
      <w:r>
        <w:rPr>
          <w:rFonts w:ascii="Arial" w:cs="Arial" w:eastAsia="Arial" w:hAnsi="Arial"/>
          <w:sz w:val="20"/>
          <w:szCs w:val="20"/>
        </w:rPr>
        <w:t xml:space="preserve">Does the ethanol dilution method overstate the carbon content of D-series bio-oil, and therefore CO₂e stored?</w:t>
      </w:r>
    </w:p>
    <w:p>
      <w:pPr>
        <w:pBdr>
          <w:bottom w:val="single" w:color="1F4E79" w:sz="6" w:space="2"/>
        </w:pBdr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Charm’s Position</w:t>
      </w:r>
    </w:p>
    <w:p>
      <w:pPr>
        <w:spacing w:after="100" w:line="264"/>
      </w:pPr>
      <w:r>
        <w:rPr>
          <w:rFonts w:ascii="Arial" w:cs="Arial" w:eastAsia="Arial" w:hAnsi="Arial"/>
          <w:sz w:val="20"/>
          <w:szCs w:val="20"/>
        </w:rPr>
        <w:t xml:space="preserve">No. Across four paired samples, ethanol-corrected carbon averaged 4.8 percentage points below the undiluted result. At the 84th-percentile bound applied in Isometric Standard v2.0 §3.7.2, the difference remains negative (−1.9 points).</w:t>
      </w:r>
    </w:p>
    <w:p>
      <w:pPr>
        <w:pBdr>
          <w:bottom w:val="single" w:color="1F4E79" w:sz="6" w:space="2"/>
        </w:pBdr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Relation to PDD</w:t>
      </w:r>
    </w:p>
    <w:p>
      <w:pPr>
        <w:spacing w:after="100" w:line="264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“The Bio-Oil is sampled for CHN testing by an ISO accredited laboratory after the completion of Sparging. The % C reported by the laboratory is multiplied by the Mass of Bio-Oil Injected. That value is multiplied by 3.67 or 44/12 to convert the carbon content to CO2e.”</w:t>
      </w:r>
      <w:r>
        <w:rPr>
          <w:rFonts w:ascii="Arial" w:cs="Arial" w:eastAsia="Arial" w:hAnsi="Arial"/>
          <w:sz w:val="20"/>
          <w:szCs w:val="20"/>
        </w:rPr>
        <w:t xml:space="preserve"> (PDD v1.12, Section B, Gross CO2e Sequestration)</w:t>
      </w:r>
    </w:p>
    <w:p>
      <w:pPr>
        <w:spacing w:after="100" w:line="264"/>
      </w:pPr>
      <w:r>
        <w:rPr>
          <w:rFonts w:ascii="Arial" w:cs="Arial" w:eastAsia="Arial" w:hAnsi="Arial"/>
          <w:sz w:val="20"/>
          <w:szCs w:val="20"/>
        </w:rPr>
        <w:t xml:space="preserve">The dilution method changes two steps: laboratory sample preparation (absolute ethanol added at a weighed fraction) and derivation of the reported % C (blend result corrected for that fraction). The sampling point, laboratory CHN analysis, Mass of Bio-Oil Injected and the 44/12 conversion are unchanged.</w:t>
      </w:r>
    </w:p>
    <w:p>
      <w:pPr>
        <w:pBdr>
          <w:bottom w:val="single" w:color="1F4E79" w:sz="6" w:space="2"/>
        </w:pBdr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1. Paired Results (ASTM D5291, SGS St. Rose)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2000"/>
        <w:gridCol w:w="1500"/>
        <w:gridCol w:w="2060"/>
      </w:tblGrid>
      <w:tr>
        <w:trPr>
          <w:tblHeader/>
        </w:trPr>
        <w:tc>
          <w:tcPr>
            <w:tcW w:type="dxa" w:w="2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Sample</w:t>
            </w:r>
          </w:p>
        </w:tc>
        <w:tc>
          <w:tcPr>
            <w:tcW w:type="dxa" w:w="17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Undiluted C, % (m/m)</w:t>
            </w:r>
          </w:p>
        </w:tc>
        <w:tc>
          <w:tcPr>
            <w:tcW w:type="dxa" w:w="20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Diluted C, % (m/m), ethanol-corrected</w:t>
            </w:r>
          </w:p>
        </w:tc>
        <w:tc>
          <w:tcPr>
            <w:tcW w:type="dxa" w:w="15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Difference (points)</w:t>
            </w:r>
          </w:p>
        </w:tc>
        <w:tc>
          <w:tcPr>
            <w:tcW w:type="dxa" w:w="206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SGS report</w:t>
            </w:r>
          </w:p>
        </w:tc>
      </w:tr>
      <w:tr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9-2026-W1-DC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42.5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35.7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−6.8</w:t>
            </w:r>
          </w:p>
        </w:tc>
        <w:tc>
          <w:tcPr>
            <w:tcW w:type="dxa" w:w="20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[report no. to confirm]</w:t>
            </w:r>
          </w:p>
        </w:tc>
      </w:tr>
      <w:tr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9-2026-W3-DC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41.6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42.3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+0.7</w:t>
            </w:r>
          </w:p>
        </w:tc>
        <w:tc>
          <w:tcPr>
            <w:tcW w:type="dxa" w:w="20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[report no. to confirm]</w:t>
            </w:r>
          </w:p>
        </w:tc>
      </w:tr>
      <w:tr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9-2026-W4-DC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35.3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24.6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−10.7</w:t>
            </w:r>
          </w:p>
        </w:tc>
        <w:tc>
          <w:tcPr>
            <w:tcW w:type="dxa" w:w="20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SR26-05820.002; SR26-05820.001 Reissue 1</w:t>
            </w:r>
          </w:p>
        </w:tc>
      </w:tr>
      <w:tr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10-2026-W1-DC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35.7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33.2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−2.5</w:t>
            </w:r>
          </w:p>
        </w:tc>
        <w:tc>
          <w:tcPr>
            <w:tcW w:type="dxa" w:w="20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SR26-05962.001; .002</w:t>
            </w:r>
          </w:p>
        </w:tc>
      </w:tr>
      <w:tr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Mean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38.8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34.0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−4.8</w:t>
            </w:r>
          </w:p>
        </w:tc>
        <w:tc>
          <w:tcPr>
            <w:tcW w:type="dxa" w:w="20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Diluted samples were blended at 15.0 wt% (9-2026-W4) and 14.9 wt% (10-2026-W1) absolute ethanol. Carbon was corrected run by run using 52.14 % C for ethanol. SGS’s dilution worksheet reports, for each run, the weighed ethanol fraction, measured blend carbon and corrected carbon.</w:t>
      </w:r>
    </w:p>
    <w:p>
      <w:pPr>
        <w:pBdr>
          <w:bottom w:val="single" w:color="1F4E79" w:sz="6" w:space="2"/>
        </w:pBdr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 Upper Bound on Overstatement</w:t>
      </w:r>
    </w:p>
    <w:p>
      <w:pPr>
        <w:spacing w:after="100" w:line="264"/>
      </w:pPr>
      <w:r>
        <w:rPr>
          <w:rFonts w:ascii="Arial" w:cs="Arial" w:eastAsia="Arial" w:hAnsi="Arial"/>
          <w:sz w:val="20"/>
          <w:szCs w:val="20"/>
        </w:rPr>
        <w:t xml:space="preserve">Overstatement would appear as a positive difference (diluted − undiluted). The question is how large that difference could plausibly be, given the four pairs. Isometric’s threshold for a conservative value:</w:t>
      </w:r>
    </w:p>
    <w:p>
      <w:pPr>
        <w:spacing w:after="100" w:line="264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“Isometric recommends that the value used in the Removal or Reduction calculation be either ≤16th or ≥84th percentile, depending on which one yields a more Conservative estimate of Removal or Reduction.”</w:t>
      </w:r>
      <w:r>
        <w:rPr>
          <w:rFonts w:ascii="Arial" w:cs="Arial" w:eastAsia="Arial" w:hAnsi="Arial"/>
          <w:sz w:val="20"/>
          <w:szCs w:val="20"/>
        </w:rPr>
        <w:t xml:space="preserve"> (Isometric Standard v2.0 §3.7.2)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rPr>
          <w:tblHeader/>
        </w:trPr>
        <w:tc>
          <w:tcPr>
            <w:tcW w:type="dxa" w:w="536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Statistic (difference = diluted − undiluted, n = 4)</w:t>
            </w:r>
          </w:p>
        </w:tc>
        <w:tc>
          <w:tcPr>
            <w:tcW w:type="dxa" w:w="40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(points of C)</w:t>
            </w:r>
          </w:p>
        </w:tc>
      </w:tr>
      <w:tr>
        <w:tc>
          <w:tcPr>
            <w:tcW w:type="dxa" w:w="5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Mean difference (standard error)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−4.8 (2.5)</w:t>
            </w:r>
          </w:p>
        </w:tc>
      </w:tr>
      <w:tr>
        <w:tc>
          <w:tcPr>
            <w:tcW w:type="dxa" w:w="5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84th-percentile upper bound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−1.9</w:t>
            </w:r>
          </w:p>
        </w:tc>
      </w:tr>
    </w:tbl>
    <w:p>
      <w:pPr>
        <w:spacing w:after="100" w:before="100" w:line="264"/>
      </w:pPr>
      <w:r>
        <w:rPr>
          <w:rFonts w:ascii="Arial" w:cs="Arial" w:eastAsia="Arial" w:hAnsi="Arial"/>
          <w:sz w:val="20"/>
          <w:szCs w:val="20"/>
        </w:rPr>
        <w:t xml:space="preserve">Diluted results were lower in 3 of 4 pairs. The 84th-percentile bound is the mean difference plus the 84th-percentile t-value for three degrees of freedom times the standard error (−4.8 + 1.19 × 2.5 = −1.9). The bound is below zero: at the percentile §3.7.2 sets for a Conservative estimate, ethanol-corrected carbon does not exceed undiluted carbon.</w:t>
      </w:r>
    </w:p>
    <w:p>
      <w:pPr>
        <w:pBdr>
          <w:bottom w:val="single" w:color="1F4E79" w:sz="6" w:space="2"/>
        </w:pBdr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 Accuracy Against a Homogeneous Reference Oil</w:t>
      </w:r>
    </w:p>
    <w:p>
      <w:pPr>
        <w:spacing w:after="100" w:line="264"/>
      </w:pPr>
      <w:r>
        <w:rPr>
          <w:rFonts w:ascii="Arial" w:cs="Arial" w:eastAsia="Arial" w:hAnsi="Arial"/>
          <w:sz w:val="20"/>
          <w:szCs w:val="20"/>
        </w:rPr>
        <w:t xml:space="preserve">Charm’s validation on AECN oil, which can be measured neat, blended ethanol at 33.38 wt%:</w:t>
      </w:r>
    </w:p>
    <w:p>
      <w:pPr>
        <w:spacing w:after="100" w:line="264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“The average carbon content for each method, Figure 2, differs by only 0.22%. Analysis via t-test showed that the 95% confidence interval was -0.338% to +0.778%.”</w:t>
      </w:r>
      <w:r>
        <w:rPr>
          <w:rFonts w:ascii="Arial" w:cs="Arial" w:eastAsia="Arial" w:hAnsi="Arial"/>
          <w:sz w:val="20"/>
          <w:szCs w:val="20"/>
        </w:rPr>
        <w:t xml:space="preserve"> (Justification for MRV analysis of D-series oil via ethanol dilution, “Validation of CHN Analysis With Ethanol Dilution”)</w:t>
      </w:r>
    </w:p>
    <w:p>
      <w:pPr>
        <w:spacing w:after="100" w:line="264"/>
      </w:pPr>
      <w:r>
        <w:rPr>
          <w:rFonts w:ascii="Arial" w:cs="Arial" w:eastAsia="Arial" w:hAnsi="Arial"/>
          <w:sz w:val="20"/>
          <w:szCs w:val="20"/>
        </w:rPr>
        <w:t xml:space="preserve">Neat AECN averaged 42.62 % C and diluted AECN 42.40 % C, so the interval is for neat minus diluted. The largest overstatement by the diluted method consistent with that interval is 0.34 points.</w:t>
      </w:r>
    </w:p>
    <w:p>
      <w:pPr>
        <w:pBdr>
          <w:bottom w:val="single" w:color="1F4E79" w:sz="6" w:space="2"/>
        </w:pBdr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4. Repeatability on D-Series Oil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30"/>
        <w:gridCol w:w="3630"/>
      </w:tblGrid>
      <w:tr>
        <w:trPr>
          <w:tblHeader/>
        </w:trPr>
        <w:tc>
          <w:tcPr>
            <w:tcW w:type="dxa" w:w="2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Sample</w:t>
            </w:r>
          </w:p>
        </w:tc>
        <w:tc>
          <w:tcPr>
            <w:tcW w:type="dxa" w:w="363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Undiluted runs, range (n = 10)</w:t>
            </w:r>
          </w:p>
        </w:tc>
        <w:tc>
          <w:tcPr>
            <w:tcW w:type="dxa" w:w="363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Ethanol-corrected runs, range (n = 3)</w:t>
            </w:r>
          </w:p>
        </w:tc>
      </w:tr>
      <w:tr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9-2026-W4-DC</w:t>
            </w:r>
          </w:p>
        </w:tc>
        <w:tc>
          <w:tcPr>
            <w:tcW w:type="dxa" w:w="36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19.8 – 50.6 % C</w:t>
            </w:r>
          </w:p>
        </w:tc>
        <w:tc>
          <w:tcPr>
            <w:tcW w:type="dxa" w:w="36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23.5 – 25.6 % C</w:t>
            </w:r>
          </w:p>
        </w:tc>
      </w:tr>
      <w:tr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10-2026-W1-DC</w:t>
            </w:r>
          </w:p>
        </w:tc>
        <w:tc>
          <w:tcPr>
            <w:tcW w:type="dxa" w:w="36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20.6 – 48.8 % C</w:t>
            </w:r>
          </w:p>
        </w:tc>
        <w:tc>
          <w:tcPr>
            <w:tcW w:type="dxa" w:w="36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30.9 – 34.7 % C</w:t>
            </w:r>
          </w:p>
        </w:tc>
      </w:tr>
    </w:tbl>
    <w:p>
      <w:pPr>
        <w:spacing w:after="100" w:before="100" w:line="264"/>
      </w:pPr>
      <w:r>
        <w:rPr>
          <w:rFonts w:ascii="Arial" w:cs="Arial" w:eastAsia="Arial" w:hAnsi="Arial"/>
          <w:sz w:val="20"/>
          <w:szCs w:val="20"/>
        </w:rPr>
        <w:t xml:space="preserve">Undiluted runs on the same sample divide between a low-carbon and a high-carbon group, consistent with each 0.1 g subsample drawing mainly one phase. SGS noted on both 9-2026-W4-DC reports: “Please Note - Samples Are Predominantly Water.” Ethanol evaporation between blending and analysis would lower the corrected value, by 0.20–0.32 points per wt% of ethanol lost.</w:t>
      </w:r>
    </w:p>
    <w:p>
      <w:pPr>
        <w:pBdr>
          <w:bottom w:val="single" w:color="1F4E79" w:sz="6" w:space="2"/>
        </w:pBdr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Requested Confirmation</w:t>
      </w:r>
    </w:p>
    <w:p>
      <w:pPr>
        <w:spacing w:after="100" w:line="264"/>
      </w:pPr>
      <w:r>
        <w:rPr>
          <w:rFonts w:ascii="Arial" w:cs="Arial" w:eastAsia="Arial" w:hAnsi="Arial"/>
          <w:sz w:val="20"/>
          <w:szCs w:val="20"/>
        </w:rPr>
        <w:t xml:space="preserve">Charm requests that Isometric confirm the ethanol dilution method is acceptable for CHN determination of D-series bio-oil for MRV.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2026-10-13T18:08:23.842Z</dcterms:created>
  <dcterms:modified xsi:type="dcterms:W3CDTF">2026-10-13T18:08:23.843Z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