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FB8FF8" w14:textId="77777777" w:rsidR="00113BB2" w:rsidRDefault="00000000">
      <w:pPr>
        <w:pStyle w:val="Title"/>
      </w:pPr>
      <w:r>
        <w:t>Request for Proposals — Methodology Development: Voluntary Free-Allocation SAF Credit from Co-Processed Pyrolysis Bio-Oil</w:t>
      </w:r>
    </w:p>
    <w:p w14:paraId="05CEDA77" w14:textId="77777777" w:rsidR="00113BB2" w:rsidRDefault="00000000">
      <w:r>
        <w:t>Issuer: Charm Industrial</w:t>
      </w:r>
    </w:p>
    <w:p w14:paraId="6B9FB1A3" w14:textId="77777777" w:rsidR="00113BB2" w:rsidRDefault="00000000">
      <w:r>
        <w:t xml:space="preserve">Issue date: </w:t>
      </w:r>
      <w:r>
        <w:rPr>
          <w:highlight w:val="yellow"/>
        </w:rPr>
        <w:t>[PLACEHOLDER: issue date]</w:t>
      </w:r>
    </w:p>
    <w:p w14:paraId="686EB312" w14:textId="77777777" w:rsidR="00113BB2" w:rsidRDefault="00000000">
      <w:r>
        <w:t xml:space="preserve">Response deadline: </w:t>
      </w:r>
      <w:r>
        <w:rPr>
          <w:highlight w:val="yellow"/>
        </w:rPr>
        <w:t>[PLACEHOLDER: response deadline]</w:t>
      </w:r>
    </w:p>
    <w:p w14:paraId="79D8B94A" w14:textId="77777777" w:rsidR="00113BB2" w:rsidRDefault="00000000">
      <w:r>
        <w:t xml:space="preserve">Proposals due: </w:t>
      </w:r>
      <w:r>
        <w:rPr>
          <w:highlight w:val="yellow"/>
        </w:rPr>
        <w:t>[PLACEHOLDER: proposal due date]</w:t>
      </w:r>
    </w:p>
    <w:p w14:paraId="0A49407A" w14:textId="77777777" w:rsidR="00113BB2" w:rsidRDefault="00000000">
      <w:r>
        <w:t xml:space="preserve">Budget range: </w:t>
      </w:r>
      <w:r>
        <w:rPr>
          <w:highlight w:val="yellow"/>
        </w:rPr>
        <w:t>[PLACEHOLDER: project budget range]</w:t>
      </w:r>
    </w:p>
    <w:p w14:paraId="373B2DB6" w14:textId="77777777" w:rsidR="00113BB2" w:rsidRDefault="00000000">
      <w:r>
        <w:t xml:space="preserve">Recipients: </w:t>
      </w:r>
      <w:r>
        <w:rPr>
          <w:highlight w:val="yellow"/>
        </w:rPr>
        <w:t>[PLACEHOLDER: recipient list]</w:t>
      </w:r>
    </w:p>
    <w:p w14:paraId="74556B17" w14:textId="77777777" w:rsidR="00113BB2" w:rsidRDefault="00000000">
      <w:r>
        <w:t xml:space="preserve">Contact: </w:t>
      </w:r>
      <w:r>
        <w:rPr>
          <w:highlight w:val="yellow"/>
        </w:rPr>
        <w:t>[PLACEHOLDER: contact name, email]</w:t>
      </w:r>
    </w:p>
    <w:p w14:paraId="0BFA589B" w14:textId="77777777" w:rsidR="00113BB2" w:rsidRDefault="00000000">
      <w:r>
        <w:t>Confidential to Charm Industrial and the recipient, including all attachments. Do not share outside your organization without Charm's written consent.</w:t>
      </w:r>
    </w:p>
    <w:p w14:paraId="1E25E08B" w14:textId="77777777" w:rsidR="00113BB2" w:rsidRDefault="00000000">
      <w:pPr>
        <w:pStyle w:val="Heading2"/>
      </w:pPr>
      <w:r>
        <w:t>Summary</w:t>
      </w:r>
    </w:p>
    <w:p w14:paraId="2E23EABF" w14:textId="77777777" w:rsidR="00113BB2" w:rsidRDefault="00000000">
      <w:r>
        <w:t>Charm Industrial makes bio-oil from waste biomass through pyrolysis. A partner refinery will co-process that bio-oil into jet fuel, mixed in with the refinery's normal fossil inputs, using a fluid catalytic cracker (FCC) — the refinery unit that breaks heavy oil into lighter fuels. Charm wants to assign the full biogenic (plant-based) carbon credit from the bio-oil to the jet fuel that comes out, rather than spreading that credit across all the fuels the refinery produces. This is called free allocation, or flexible attribution.</w:t>
      </w:r>
    </w:p>
    <w:p w14:paraId="2EE12F2B" w14:textId="77777777" w:rsidR="001E4FD5" w:rsidRDefault="00000000">
      <w:r>
        <w:t xml:space="preserve">Charm is asking a qualified developer to write the methodology — the rulebook of definitions, calculations, and evidence requirements — that makes this credit rigorous and defensible. </w:t>
      </w:r>
      <w:r w:rsidR="001E4FD5">
        <w:t xml:space="preserve">This methodology should treat “upstream” (biomass sourcing through pyrolysis), and “downstream” (everything that happens to the </w:t>
      </w:r>
      <w:proofErr w:type="gramStart"/>
      <w:r w:rsidR="001E4FD5">
        <w:t>bio-oil</w:t>
      </w:r>
      <w:proofErr w:type="gramEnd"/>
      <w:r w:rsidR="001E4FD5">
        <w:t xml:space="preserve"> from the time it leaves the pyrolysis facility through the production and delivery of finished fuel) along two different </w:t>
      </w:r>
      <w:proofErr w:type="spellStart"/>
      <w:r w:rsidR="001E4FD5">
        <w:t>lines</w:t>
      </w:r>
      <w:proofErr w:type="spellEnd"/>
    </w:p>
    <w:p w14:paraId="30B14419" w14:textId="77777777" w:rsidR="001E4FD5" w:rsidRDefault="001E4FD5" w:rsidP="001E4FD5">
      <w:pPr>
        <w:pStyle w:val="ListParagraph"/>
        <w:numPr>
          <w:ilvl w:val="0"/>
          <w:numId w:val="10"/>
        </w:numPr>
      </w:pPr>
      <w:r>
        <w:t>Upstream</w:t>
      </w:r>
      <w:r w:rsidR="00000000">
        <w:t xml:space="preserve"> builds on Charm's already-verified carbon-removal accounting through the </w:t>
      </w:r>
      <w:proofErr w:type="gramStart"/>
      <w:r w:rsidR="00000000">
        <w:t>bio-oil</w:t>
      </w:r>
      <w:proofErr w:type="gramEnd"/>
      <w:r w:rsidR="00000000">
        <w:t xml:space="preserve">, </w:t>
      </w:r>
      <w:r>
        <w:t>which is elaborated on Isometric’s Certify platform</w:t>
      </w:r>
    </w:p>
    <w:p w14:paraId="32F16858" w14:textId="5FB740AF" w:rsidR="00113BB2" w:rsidRDefault="001E4FD5" w:rsidP="001E4FD5">
      <w:pPr>
        <w:pStyle w:val="ListParagraph"/>
        <w:numPr>
          <w:ilvl w:val="0"/>
          <w:numId w:val="10"/>
        </w:numPr>
      </w:pPr>
      <w:r>
        <w:t xml:space="preserve">Downstream </w:t>
      </w:r>
      <w:r w:rsidR="00000000">
        <w:t>borrows co-processing and allocation rules from</w:t>
      </w:r>
      <w:r>
        <w:t xml:space="preserve"> reputable sources which already support free allocation in a voluntary context, such as</w:t>
      </w:r>
      <w:r w:rsidR="00000000">
        <w:t xml:space="preserve"> the Roundtable on Sustainable Biomaterials (RSB) Global Advanced Fuels standard and from International Sustainability and Carbon Certification (ISCC) PLUS</w:t>
      </w:r>
      <w:r>
        <w:t>,</w:t>
      </w:r>
      <w:r w:rsidR="00000000">
        <w:t xml:space="preserve"> rather than building from scratch.</w:t>
      </w:r>
    </w:p>
    <w:p w14:paraId="723CD254" w14:textId="4EB7E03A" w:rsidR="00113BB2" w:rsidRDefault="00000000">
      <w:r>
        <w:t>The finished methodology must register on the 123 Carbon registry under the Smart Freight Centre (SFC) Market Based Measures (MBM) framework's non-certified pathway — a track for claims not covered by an existing fuel certification — and satisfy an anchor buyer</w:t>
      </w:r>
      <w:r w:rsidR="00551F85">
        <w:t xml:space="preserve"> (to be disclosed following execution of NDA)</w:t>
      </w:r>
      <w:r>
        <w:t>. The scope also requires a stacking assessment against government programs (Renewable Identification Numbers, the Low Carbon Fuel Standard, and the 45Z tax credit) and a gap analysis covering later certification and sustainable aviation fuel certificate (SAFc) registry listing.</w:t>
      </w:r>
    </w:p>
    <w:p w14:paraId="225DE2F8" w14:textId="77777777" w:rsidR="00113BB2" w:rsidRDefault="00000000">
      <w:r>
        <w:t xml:space="preserve">Under a non-disclosure agreement (NDA) the developer receives Charm's project design document and the protocols and modules it names, the worked example Charm has already built, its RSB memos and certification </w:t>
      </w:r>
      <w:r>
        <w:lastRenderedPageBreak/>
        <w:t>project plan, records of prior conversations with 123 Carbon and Amazon, the open issues in Section 5, and access to Charm's measurement, reporting and verification (MRV) team. Section 7 lists the materials.</w:t>
      </w:r>
    </w:p>
    <w:p w14:paraId="06D900B7" w14:textId="77777777" w:rsidR="00113BB2" w:rsidRDefault="00000000">
      <w:r>
        <w:t xml:space="preserve">Key dates — Q&amp;A window, intent to bid, shortlist interviews, award, kickoff: each </w:t>
      </w:r>
      <w:r>
        <w:rPr>
          <w:highlight w:val="yellow"/>
        </w:rPr>
        <w:t>[PLACEHOLDER: date]</w:t>
      </w:r>
      <w:r>
        <w:t>.</w:t>
      </w:r>
    </w:p>
    <w:p w14:paraId="4DFD1DEF" w14:textId="77777777" w:rsidR="00113BB2" w:rsidRDefault="00000000">
      <w:pPr>
        <w:pStyle w:val="Heading2"/>
      </w:pPr>
      <w:r>
        <w:t>1. Purpose and Background</w:t>
      </w:r>
    </w:p>
    <w:p w14:paraId="02722F2C" w14:textId="6606D5DD" w:rsidR="00113BB2" w:rsidRDefault="00000000">
      <w:r>
        <w:t>Charm Industrial converts forestry residue into bio-oil through pyrolysis, then stores that bio-oil underground for carbon removal. That accounting is verified under Charm's registered project design document (PDD v1.12) with the carbon-removal registry Isometric, which also validated the methodology.</w:t>
      </w:r>
    </w:p>
    <w:p w14:paraId="71885A30" w14:textId="2824E46E" w:rsidR="00113BB2" w:rsidRDefault="00000000">
      <w:r>
        <w:rPr>
          <w:b/>
        </w:rPr>
        <w:t>Why free allocation.</w:t>
      </w:r>
      <w:r>
        <w:t xml:space="preserve"> </w:t>
      </w:r>
      <w:r w:rsidR="007D3814">
        <w:t>Validated b</w:t>
      </w:r>
      <w:r>
        <w:t xml:space="preserve">lend rates for </w:t>
      </w:r>
      <w:proofErr w:type="gramStart"/>
      <w:r>
        <w:t>bio-oil</w:t>
      </w:r>
      <w:proofErr w:type="gramEnd"/>
      <w:r>
        <w:t xml:space="preserve"> in an FCC are expected to be low — </w:t>
      </w:r>
      <w:r w:rsidR="007D3814">
        <w:t>5% or less of the refinery’s total crude infeed.</w:t>
      </w:r>
      <w:r>
        <w:t xml:space="preserve"> At that scale, splitting the biogenic carbon credit proportionally across every fuel the refinery makes — diesel, gasoline, heating oil, and jet fuel alike — leaves a jet-fuel share too small to support a </w:t>
      </w:r>
      <w:r w:rsidR="0057518A">
        <w:t>commercially viable project</w:t>
      </w:r>
      <w:r>
        <w:t xml:space="preserve">. </w:t>
      </w:r>
    </w:p>
    <w:p w14:paraId="16F8CDEA" w14:textId="7FAA19E5" w:rsidR="00113BB2" w:rsidRDefault="00000000">
      <w:r>
        <w:t>Schemes aligned to the Carbon Offsetting and Reduction Scheme for International Aviation (CORSIA) require a proportional split instead</w:t>
      </w:r>
      <w:r w:rsidR="00741642">
        <w:t xml:space="preserve">, so a </w:t>
      </w:r>
      <w:r>
        <w:t xml:space="preserve">CORSIA-eligible claim is out of scope. </w:t>
      </w:r>
    </w:p>
    <w:p w14:paraId="620058C1" w14:textId="1CBA6911" w:rsidR="00113BB2" w:rsidRDefault="00000000">
      <w:r>
        <w:rPr>
          <w:b/>
        </w:rPr>
        <w:t>The registry route.</w:t>
      </w:r>
      <w:r>
        <w:t xml:space="preserve"> </w:t>
      </w:r>
      <w:r w:rsidR="00741642">
        <w:t>Today, both</w:t>
      </w:r>
      <w:r>
        <w:t xml:space="preserve"> RSB's Global Advanced Fuels standard (RSB-STD-01-010 v2.8) with its guidance (RG-2024-06 and RSB-GUI-PG-2025-02), and ISCC PLUS (203-1 and 203-2 v1.1)</w:t>
      </w:r>
      <w:r w:rsidR="00741642">
        <w:t xml:space="preserve"> support free attribution</w:t>
      </w:r>
      <w:r>
        <w:t>. Other reputable schemes may be substituted or added at Charm's discretion.</w:t>
      </w:r>
    </w:p>
    <w:p w14:paraId="4259E0A5" w14:textId="77777777" w:rsidR="00113BB2" w:rsidRDefault="00000000">
      <w:r>
        <w:t>Credits will be issued through 123 Carbon, on the non-certified pathway of the SFC Voluntary Market Based Measures Framework for Logistics Emissions Accounting and Reporting (v1.0, October 2023) and its specification SFC-SPEC-001 v01 — a path that does not require Charm or the refinery to hold a full RSB or ISCC certificate before issuing credits, provided the underlying calculations are disclosed and independently checked.</w:t>
      </w:r>
    </w:p>
    <w:p w14:paraId="0D0BEF70" w14:textId="77777777" w:rsidR="00113BB2" w:rsidRDefault="00000000">
      <w:r>
        <w:rPr>
          <w:b/>
        </w:rPr>
        <w:t>Why an external developer.</w:t>
      </w:r>
      <w:r>
        <w:t xml:space="preserve"> Charm's validated accounting stops when bio-oil leaves the plant. Two transport steps downstream — bio-oil to the refinery, finished fuel to the blend point — reuse its distance-based method by analogy but are not validated activity. Everything past that point has no counterpart in the validated accounting: splitting emissions between the refinery's fuel products, tracking the biogenic carbon through the cracking unit, and meeting the disclosure and registry requirements a voluntary buyer expects. That needs expertise in refinery-level emissions accounting and in the RSB and ISCC standards, which Charm does not have in-house. An independent author also gives buyers confidence that the added layers were not written to favor Charm's interests.</w:t>
      </w:r>
    </w:p>
    <w:p w14:paraId="1DED58D5" w14:textId="77777777" w:rsidR="00113BB2" w:rsidRDefault="00000000">
      <w:pPr>
        <w:pStyle w:val="Heading2"/>
      </w:pPr>
      <w:r>
        <w:t>2. Objectives</w:t>
      </w:r>
    </w:p>
    <w:p w14:paraId="35759F3F" w14:textId="77777777" w:rsidR="00113BB2" w:rsidRDefault="00000000">
      <w:r>
        <w:t>The methodology the developer produces must:</w:t>
      </w:r>
    </w:p>
    <w:p w14:paraId="7C6B12BE" w14:textId="77777777" w:rsidR="00113BB2" w:rsidRDefault="00000000">
      <w:pPr>
        <w:pStyle w:val="ListNumber"/>
      </w:pPr>
      <w:r>
        <w:t>Leave Charm's verified carbon-removal accounting, biomass sourcing through finished bio-oil, unchanged as the fixed starting point for every downstream calculation.</w:t>
      </w:r>
    </w:p>
    <w:p w14:paraId="32BB0194" w14:textId="77777777" w:rsidR="00113BB2" w:rsidRDefault="00000000">
      <w:pPr>
        <w:pStyle w:val="ListNumber"/>
      </w:pPr>
      <w:r>
        <w:t>Add a complete accounting method for the refinery step: splitting shared emissions (energy use, added hydrogen, other inputs) between the bio-based and fossil portions of what it processes.</w:t>
      </w:r>
    </w:p>
    <w:p w14:paraId="4B385CA9" w14:textId="77777777" w:rsidR="00113BB2" w:rsidRDefault="00000000">
      <w:pPr>
        <w:pStyle w:val="ListNumber"/>
      </w:pPr>
      <w:r>
        <w:t>Adopt free allocation of the biogenic carbon credit to the jet-fuel output, capping total credited carbon at the amount that physically entered the process as bio-oil.</w:t>
      </w:r>
    </w:p>
    <w:p w14:paraId="4C47ADB0" w14:textId="77777777" w:rsidR="00113BB2" w:rsidRDefault="00000000">
      <w:pPr>
        <w:pStyle w:val="ListNumber"/>
      </w:pPr>
      <w:r>
        <w:t>Draw the refinery-allocation and carbon-attribution rules from RSB Global Advanced Fuels and ISCC PLUS, while remaining free to substitute another reputable scheme if Charm or a buyer prefers it.</w:t>
      </w:r>
    </w:p>
    <w:p w14:paraId="74DF2129" w14:textId="77777777" w:rsidR="00113BB2" w:rsidRDefault="00000000">
      <w:pPr>
        <w:pStyle w:val="ListNumber"/>
      </w:pPr>
      <w:r>
        <w:t>Produce every Sustainability Profile field SFC-SPEC-001 v01 §3.25 requires, at production-batch level, ready for registration with 123 Carbon on the non-certified pathway.</w:t>
      </w:r>
    </w:p>
    <w:p w14:paraId="2F081523" w14:textId="77777777" w:rsidR="00113BB2" w:rsidRDefault="00000000">
      <w:pPr>
        <w:pStyle w:val="ListNumber"/>
      </w:pPr>
      <w:r>
        <w:lastRenderedPageBreak/>
        <w:t>Name every departure from RSB, ISCC, or SFC-SPEC-001 v01 and explain it in plain terms, so it is disclosed rather than discovered later.</w:t>
      </w:r>
    </w:p>
    <w:p w14:paraId="641FA120" w14:textId="77777777" w:rsidR="00113BB2" w:rsidRDefault="00000000">
      <w:pPr>
        <w:pStyle w:val="ListNumber"/>
      </w:pPr>
      <w:r>
        <w:t>Result in a credit Amazon will accept as anchor buyer, consistent with the substantive criteria of the Sustainable Aviation Buyers Alliance (SABA) Sustainability Framework Version 3. SABA-Eligible status is not a target today: certification is a precondition (V3 §4, p.7) and 123 Carbon is not a SABA-eligible registry (V3 §8, p.12).</w:t>
      </w:r>
    </w:p>
    <w:p w14:paraId="2C75386B" w14:textId="77777777" w:rsidR="00113BB2" w:rsidRDefault="00000000">
      <w:pPr>
        <w:pStyle w:val="ListNumber"/>
      </w:pPr>
      <w:r>
        <w:t>Assess whether compliance credits another party may claim on the same fuel volume — Renewable Identification Numbers (RINs), California Low Carbon Fuel Standard (LCFS) credits, the federal 45Z tax credit — can be held alongside the voluntary credit without double-counting.</w:t>
      </w:r>
    </w:p>
    <w:p w14:paraId="28023B03" w14:textId="77777777" w:rsidR="00113BB2" w:rsidRDefault="00000000">
      <w:pPr>
        <w:pStyle w:val="ListNumber"/>
      </w:pPr>
      <w:r>
        <w:t>Deliver a gap analysis: what evidence, data, or process change would be needed to later certify these attributes under RSB Global Advanced Fuels or ISCC PLUS and list them on the SAFc Registry.</w:t>
      </w:r>
    </w:p>
    <w:p w14:paraId="789EA945" w14:textId="77777777" w:rsidR="00113BB2" w:rsidRDefault="00000000">
      <w:pPr>
        <w:pStyle w:val="ListNumber"/>
      </w:pPr>
      <w:r>
        <w:t>Hand over so Charm's MRV team can run it each reporting period and a verifier can trace every input to its named source system, without further developer input.</w:t>
      </w:r>
    </w:p>
    <w:p w14:paraId="79D0AB55" w14:textId="77777777" w:rsidR="00113BB2" w:rsidRDefault="00000000">
      <w:pPr>
        <w:pStyle w:val="Heading2"/>
      </w:pPr>
      <w:r>
        <w:t>3. Scope of Work</w:t>
      </w:r>
    </w:p>
    <w:p w14:paraId="5549D20A" w14:textId="77777777" w:rsidR="00113BB2" w:rsidRDefault="00000000">
      <w:r>
        <w:t>Eleven work packages. Each deliverable must carry its RSB, ISCC and SFC citations as clause and page.</w:t>
      </w:r>
    </w:p>
    <w:tbl>
      <w:tblPr>
        <w:tblStyle w:val="TableGrid"/>
        <w:tblW w:w="0" w:type="auto"/>
        <w:tblLook w:val="04A0" w:firstRow="1" w:lastRow="0" w:firstColumn="1" w:lastColumn="0" w:noHBand="0" w:noVBand="1"/>
      </w:tblPr>
      <w:tblGrid>
        <w:gridCol w:w="3264"/>
        <w:gridCol w:w="3264"/>
        <w:gridCol w:w="3264"/>
      </w:tblGrid>
      <w:tr w:rsidR="00113BB2" w14:paraId="0969039A" w14:textId="77777777">
        <w:tc>
          <w:tcPr>
            <w:tcW w:w="3264" w:type="dxa"/>
          </w:tcPr>
          <w:p w14:paraId="0C0BB4B5" w14:textId="77777777" w:rsidR="00113BB2" w:rsidRDefault="00000000">
            <w:pPr>
              <w:spacing w:after="40"/>
            </w:pPr>
            <w:r>
              <w:rPr>
                <w:b/>
                <w:sz w:val="19"/>
              </w:rPr>
              <w:t>Work package</w:t>
            </w:r>
          </w:p>
        </w:tc>
        <w:tc>
          <w:tcPr>
            <w:tcW w:w="3264" w:type="dxa"/>
          </w:tcPr>
          <w:p w14:paraId="38204CE2" w14:textId="77777777" w:rsidR="00113BB2" w:rsidRDefault="00000000">
            <w:pPr>
              <w:spacing w:after="40"/>
            </w:pPr>
            <w:r>
              <w:rPr>
                <w:b/>
                <w:sz w:val="19"/>
              </w:rPr>
              <w:t>What the developer delivers</w:t>
            </w:r>
          </w:p>
        </w:tc>
        <w:tc>
          <w:tcPr>
            <w:tcW w:w="3264" w:type="dxa"/>
          </w:tcPr>
          <w:p w14:paraId="4A325EBB" w14:textId="77777777" w:rsidR="00113BB2" w:rsidRDefault="00000000">
            <w:pPr>
              <w:spacing w:after="40"/>
            </w:pPr>
            <w:r>
              <w:rPr>
                <w:b/>
                <w:sz w:val="19"/>
              </w:rPr>
              <w:t>Governing references</w:t>
            </w:r>
          </w:p>
        </w:tc>
      </w:tr>
      <w:tr w:rsidR="00113BB2" w14:paraId="7BEC49B8" w14:textId="77777777">
        <w:tc>
          <w:tcPr>
            <w:tcW w:w="3264" w:type="dxa"/>
          </w:tcPr>
          <w:p w14:paraId="1CBBF25B" w14:textId="77777777" w:rsidR="00113BB2" w:rsidRDefault="00000000">
            <w:pPr>
              <w:spacing w:after="40"/>
            </w:pPr>
            <w:r>
              <w:rPr>
                <w:sz w:val="19"/>
              </w:rPr>
              <w:t>3.1 System boundary and the 15-step chain</w:t>
            </w:r>
          </w:p>
        </w:tc>
        <w:tc>
          <w:tcPr>
            <w:tcW w:w="3264" w:type="dxa"/>
          </w:tcPr>
          <w:p w14:paraId="714D4481" w14:textId="77777777" w:rsidR="00113BB2" w:rsidRDefault="00000000">
            <w:pPr>
              <w:spacing w:after="40"/>
            </w:pPr>
            <w:r>
              <w:rPr>
                <w:sz w:val="19"/>
              </w:rPr>
              <w:t>A boundary-and-roles document giving each of Charm's 15 steps an owner (validated methodology, new methodology, or registry) and a normative reference, with a materiality basis for each exclusion.</w:t>
            </w:r>
          </w:p>
        </w:tc>
        <w:tc>
          <w:tcPr>
            <w:tcW w:w="3264" w:type="dxa"/>
          </w:tcPr>
          <w:p w14:paraId="3C49F296" w14:textId="77777777" w:rsidR="00113BB2" w:rsidRDefault="00000000">
            <w:pPr>
              <w:spacing w:after="40"/>
            </w:pPr>
            <w:r>
              <w:rPr>
                <w:sz w:val="19"/>
              </w:rPr>
              <w:t>Charm PDD v1.12 system boundary and emissions ledger; Transportation Emissions Accounting module v1.1</w:t>
            </w:r>
          </w:p>
        </w:tc>
      </w:tr>
      <w:tr w:rsidR="00113BB2" w14:paraId="35E7452E" w14:textId="77777777">
        <w:tc>
          <w:tcPr>
            <w:tcW w:w="3264" w:type="dxa"/>
          </w:tcPr>
          <w:p w14:paraId="32D500E5" w14:textId="77777777" w:rsidR="00113BB2" w:rsidRDefault="00000000">
            <w:pPr>
              <w:spacing w:after="40"/>
            </w:pPr>
            <w:r>
              <w:rPr>
                <w:sz w:val="19"/>
              </w:rPr>
              <w:t>3.2 Upstream root and pyrolyzer allocation</w:t>
            </w:r>
          </w:p>
        </w:tc>
        <w:tc>
          <w:tcPr>
            <w:tcW w:w="3264" w:type="dxa"/>
          </w:tcPr>
          <w:p w14:paraId="30901DFF" w14:textId="77777777" w:rsidR="00113BB2" w:rsidRDefault="00000000">
            <w:pPr>
              <w:spacing w:after="40"/>
            </w:pPr>
            <w:r>
              <w:rPr>
                <w:sz w:val="19"/>
              </w:rPr>
              <w:t>A memo naming the upstream carbon-intensity (CI) figures used as fixed inputs and the allocation rule producing them, with its operative source, and how the carbon-mass split applies when one pyrolysis product leaves the carbon-removal system.</w:t>
            </w:r>
          </w:p>
        </w:tc>
        <w:tc>
          <w:tcPr>
            <w:tcW w:w="3264" w:type="dxa"/>
          </w:tcPr>
          <w:p w14:paraId="23DB7A15" w14:textId="77777777" w:rsidR="00113BB2" w:rsidRDefault="00000000">
            <w:pPr>
              <w:spacing w:after="40"/>
            </w:pPr>
            <w:r>
              <w:rPr>
                <w:sz w:val="19"/>
              </w:rPr>
              <w:t>GHG Accounting Module v1.1 §6.1 Procedure 4, reached through Biochar Production and Storage v1.2 §8.6.5.4; Charm PDD v1.12</w:t>
            </w:r>
          </w:p>
        </w:tc>
      </w:tr>
      <w:tr w:rsidR="00113BB2" w14:paraId="1FEB2127" w14:textId="77777777">
        <w:tc>
          <w:tcPr>
            <w:tcW w:w="3264" w:type="dxa"/>
          </w:tcPr>
          <w:p w14:paraId="0455CF7B" w14:textId="77777777" w:rsidR="00113BB2" w:rsidRDefault="00000000">
            <w:pPr>
              <w:spacing w:after="40"/>
            </w:pPr>
            <w:r>
              <w:rPr>
                <w:sz w:val="19"/>
              </w:rPr>
              <w:t>3.3 Co-processing GHG calculation and refinery allocation basis</w:t>
            </w:r>
          </w:p>
        </w:tc>
        <w:tc>
          <w:tcPr>
            <w:tcW w:w="3264" w:type="dxa"/>
          </w:tcPr>
          <w:p w14:paraId="6B054606" w14:textId="77777777" w:rsidR="00113BB2" w:rsidRDefault="00000000">
            <w:pPr>
              <w:spacing w:after="40"/>
            </w:pPr>
            <w:r>
              <w:rPr>
                <w:sz w:val="19"/>
              </w:rPr>
              <w:t>A refinery-emissions module implementing the six-step method and the e_processing equation, parameterized for the refinery partner, every input traced to a source and vintage, and the guidance-scope question answered.</w:t>
            </w:r>
          </w:p>
        </w:tc>
        <w:tc>
          <w:tcPr>
            <w:tcW w:w="3264" w:type="dxa"/>
          </w:tcPr>
          <w:p w14:paraId="445C31B1" w14:textId="77777777" w:rsidR="00113BB2" w:rsidRDefault="00000000">
            <w:pPr>
              <w:spacing w:after="40"/>
            </w:pPr>
            <w:r>
              <w:rPr>
                <w:sz w:val="19"/>
              </w:rPr>
              <w:t>RSB-GUI-PG-2025-02 §2, p.2 and §6.1</w:t>
            </w:r>
          </w:p>
        </w:tc>
      </w:tr>
      <w:tr w:rsidR="00113BB2" w14:paraId="40770A0D" w14:textId="77777777">
        <w:tc>
          <w:tcPr>
            <w:tcW w:w="3264" w:type="dxa"/>
          </w:tcPr>
          <w:p w14:paraId="1A63A472" w14:textId="77777777" w:rsidR="00113BB2" w:rsidRDefault="00000000">
            <w:pPr>
              <w:spacing w:after="40"/>
            </w:pPr>
            <w:r>
              <w:rPr>
                <w:sz w:val="19"/>
              </w:rPr>
              <w:t>3.4 Free attribution rules and guardrails</w:t>
            </w:r>
          </w:p>
        </w:tc>
        <w:tc>
          <w:tcPr>
            <w:tcW w:w="3264" w:type="dxa"/>
          </w:tcPr>
          <w:p w14:paraId="7BA863A1" w14:textId="77777777" w:rsidR="00113BB2" w:rsidRDefault="00000000">
            <w:pPr>
              <w:spacing w:after="40"/>
            </w:pPr>
            <w:r>
              <w:rPr>
                <w:sz w:val="19"/>
              </w:rPr>
              <w:t>A free-attribution module implementing Annex IV Equations [1], [2], [4], [5] and [6], the five guardrails as explicit controls, an independently sourced carbon-conversion-efficiency figure, the claim-labelling position, and a sourced answer on radiocarbon.</w:t>
            </w:r>
          </w:p>
        </w:tc>
        <w:tc>
          <w:tcPr>
            <w:tcW w:w="3264" w:type="dxa"/>
          </w:tcPr>
          <w:p w14:paraId="06031CDD" w14:textId="77777777" w:rsidR="00113BB2" w:rsidRDefault="00000000">
            <w:pPr>
              <w:spacing w:after="40"/>
            </w:pPr>
            <w:r>
              <w:rPr>
                <w:sz w:val="19"/>
              </w:rPr>
              <w:t>RSB-STD-01-010 v2.8 §2.4.1–§2.4.5, §2.5.4, Annex IV Notes 1, 3 and 7; RG-2024-06</w:t>
            </w:r>
          </w:p>
        </w:tc>
      </w:tr>
      <w:tr w:rsidR="00113BB2" w14:paraId="427CE86A" w14:textId="77777777">
        <w:tc>
          <w:tcPr>
            <w:tcW w:w="3264" w:type="dxa"/>
          </w:tcPr>
          <w:p w14:paraId="31C95E4E" w14:textId="77777777" w:rsidR="00113BB2" w:rsidRDefault="00000000">
            <w:pPr>
              <w:spacing w:after="40"/>
            </w:pPr>
            <w:r>
              <w:rPr>
                <w:sz w:val="19"/>
              </w:rPr>
              <w:t>3.5 SFC MBM conformance mapping, monitoring plan, disclosed deviations</w:t>
            </w:r>
          </w:p>
        </w:tc>
        <w:tc>
          <w:tcPr>
            <w:tcW w:w="3264" w:type="dxa"/>
          </w:tcPr>
          <w:p w14:paraId="1533980D" w14:textId="77777777" w:rsidR="00113BB2" w:rsidRDefault="00000000">
            <w:pPr>
              <w:spacing w:after="40"/>
            </w:pPr>
            <w:r>
              <w:rPr>
                <w:sz w:val="19"/>
              </w:rPr>
              <w:t>A clause-by-clause conformance map, a monitoring plan meeting the §9.1 minimum list, a role map naming the Solution Provider and the booking, claiming and counterparty roles at each step, and a deviations register.</w:t>
            </w:r>
          </w:p>
        </w:tc>
        <w:tc>
          <w:tcPr>
            <w:tcW w:w="3264" w:type="dxa"/>
          </w:tcPr>
          <w:p w14:paraId="775CE9A9" w14:textId="77777777" w:rsidR="00113BB2" w:rsidRDefault="00000000">
            <w:pPr>
              <w:spacing w:after="40"/>
            </w:pPr>
            <w:r>
              <w:rPr>
                <w:sz w:val="19"/>
              </w:rPr>
              <w:t>SFC-SPEC-001 v01 §4, §6.1–6.4, §7, §9; SFC MBM Framework v1.0</w:t>
            </w:r>
          </w:p>
        </w:tc>
      </w:tr>
      <w:tr w:rsidR="00113BB2" w14:paraId="53976B1B" w14:textId="77777777">
        <w:tc>
          <w:tcPr>
            <w:tcW w:w="3264" w:type="dxa"/>
          </w:tcPr>
          <w:p w14:paraId="4CECF343" w14:textId="77777777" w:rsidR="00113BB2" w:rsidRDefault="00000000">
            <w:pPr>
              <w:spacing w:after="40"/>
            </w:pPr>
            <w:r>
              <w:rPr>
                <w:sz w:val="19"/>
              </w:rPr>
              <w:t>3.6 Double-counting protections</w:t>
            </w:r>
          </w:p>
        </w:tc>
        <w:tc>
          <w:tcPr>
            <w:tcW w:w="3264" w:type="dxa"/>
          </w:tcPr>
          <w:p w14:paraId="393D397E" w14:textId="77777777" w:rsidR="00113BB2" w:rsidRDefault="00000000">
            <w:pPr>
              <w:spacing w:after="40"/>
            </w:pPr>
            <w:r>
              <w:rPr>
                <w:sz w:val="19"/>
              </w:rPr>
              <w:t xml:space="preserve">A refinery data-and-declaration package, a registry-side control design </w:t>
            </w:r>
            <w:r>
              <w:rPr>
                <w:sz w:val="19"/>
              </w:rPr>
              <w:lastRenderedPageBreak/>
              <w:t>for bundled and unbundled booking and retirement tracking, and a production-period cross-check that a SAF issuance does not rest on emissions already behind a carbon-removal issuance.</w:t>
            </w:r>
          </w:p>
        </w:tc>
        <w:tc>
          <w:tcPr>
            <w:tcW w:w="3264" w:type="dxa"/>
          </w:tcPr>
          <w:p w14:paraId="7CD35CAE" w14:textId="77777777" w:rsidR="00113BB2" w:rsidRDefault="00000000">
            <w:pPr>
              <w:spacing w:after="40"/>
            </w:pPr>
            <w:r>
              <w:rPr>
                <w:sz w:val="19"/>
              </w:rPr>
              <w:lastRenderedPageBreak/>
              <w:t xml:space="preserve">SFC-SPEC-001 v01 §7.8, §8.1, §8.2; SFC </w:t>
            </w:r>
            <w:r>
              <w:rPr>
                <w:sz w:val="19"/>
              </w:rPr>
              <w:lastRenderedPageBreak/>
              <w:t>MBM Framework v1.0, p.50</w:t>
            </w:r>
          </w:p>
        </w:tc>
      </w:tr>
      <w:tr w:rsidR="00113BB2" w14:paraId="6142FD3D" w14:textId="77777777">
        <w:tc>
          <w:tcPr>
            <w:tcW w:w="3264" w:type="dxa"/>
          </w:tcPr>
          <w:p w14:paraId="72F4DA39" w14:textId="77777777" w:rsidR="00113BB2" w:rsidRDefault="00000000">
            <w:pPr>
              <w:spacing w:after="40"/>
            </w:pPr>
            <w:r>
              <w:rPr>
                <w:sz w:val="19"/>
              </w:rPr>
              <w:lastRenderedPageBreak/>
              <w:t>3.7 Stacking assessment: RINs, LCFS, 45Z</w:t>
            </w:r>
          </w:p>
        </w:tc>
        <w:tc>
          <w:tcPr>
            <w:tcW w:w="3264" w:type="dxa"/>
          </w:tcPr>
          <w:p w14:paraId="3664C0BB" w14:textId="77777777" w:rsidR="00113BB2" w:rsidRDefault="00000000">
            <w:pPr>
              <w:spacing w:after="40"/>
            </w:pPr>
            <w:r>
              <w:rPr>
                <w:sz w:val="19"/>
              </w:rPr>
              <w:t>A memo, one section per program, on who holds the credit, whether both claims can be held without double-counting the same reduction, and any design choice needed to keep them compatible.</w:t>
            </w:r>
          </w:p>
        </w:tc>
        <w:tc>
          <w:tcPr>
            <w:tcW w:w="3264" w:type="dxa"/>
          </w:tcPr>
          <w:p w14:paraId="5242A1B8" w14:textId="77777777" w:rsidR="00113BB2" w:rsidRDefault="00000000">
            <w:pPr>
              <w:spacing w:after="40"/>
            </w:pPr>
            <w:r>
              <w:rPr>
                <w:sz w:val="19"/>
              </w:rPr>
              <w:t>SABA Sustainability Framework V3 §6, p.11; SABA Atmospheric Benefit Principle Evaluation Tool</w:t>
            </w:r>
          </w:p>
        </w:tc>
      </w:tr>
      <w:tr w:rsidR="00113BB2" w14:paraId="2B5612E1" w14:textId="77777777">
        <w:tc>
          <w:tcPr>
            <w:tcW w:w="3264" w:type="dxa"/>
          </w:tcPr>
          <w:p w14:paraId="61F9EE7E" w14:textId="77777777" w:rsidR="00113BB2" w:rsidRDefault="00000000">
            <w:pPr>
              <w:spacing w:after="40"/>
            </w:pPr>
            <w:r>
              <w:rPr>
                <w:sz w:val="19"/>
              </w:rPr>
              <w:t>3.8 Certification and registry gap analysis, and the SABA reconciliation</w:t>
            </w:r>
          </w:p>
        </w:tc>
        <w:tc>
          <w:tcPr>
            <w:tcW w:w="3264" w:type="dxa"/>
          </w:tcPr>
          <w:p w14:paraId="4C3F2FBD" w14:textId="77777777" w:rsidR="00113BB2" w:rsidRDefault="00000000">
            <w:pPr>
              <w:spacing w:after="40"/>
            </w:pPr>
            <w:r>
              <w:rPr>
                <w:sz w:val="19"/>
              </w:rPr>
              <w:t>For RSB Global Advanced Fuels and ISCC PLUS each: what carries over, what needs re-derivation, what certification is newly required and from whom, with a dependency-ordered migration checklist. Plus a SABA reconciliation answering each criterion conform, deviate-and-disclose, or blocked-pending-certification.</w:t>
            </w:r>
          </w:p>
        </w:tc>
        <w:tc>
          <w:tcPr>
            <w:tcW w:w="3264" w:type="dxa"/>
          </w:tcPr>
          <w:p w14:paraId="2F1748F1" w14:textId="77777777" w:rsidR="00113BB2" w:rsidRDefault="00000000">
            <w:pPr>
              <w:spacing w:after="40"/>
            </w:pPr>
            <w:r>
              <w:rPr>
                <w:sz w:val="19"/>
              </w:rPr>
              <w:t>SAFc Registry Rulebook §6.2; SABA Sustainability Framework V3 §4, §8; RSB-STD-01-010 v2.8 §3.5, p.15</w:t>
            </w:r>
          </w:p>
        </w:tc>
      </w:tr>
      <w:tr w:rsidR="00113BB2" w14:paraId="53D8ACB7" w14:textId="77777777">
        <w:tc>
          <w:tcPr>
            <w:tcW w:w="3264" w:type="dxa"/>
          </w:tcPr>
          <w:p w14:paraId="201F069A" w14:textId="77777777" w:rsidR="00113BB2" w:rsidRDefault="00000000">
            <w:pPr>
              <w:spacing w:after="40"/>
            </w:pPr>
            <w:r>
              <w:rPr>
                <w:sz w:val="19"/>
              </w:rPr>
              <w:t>3.9 Validation and verification support</w:t>
            </w:r>
          </w:p>
        </w:tc>
        <w:tc>
          <w:tcPr>
            <w:tcW w:w="3264" w:type="dxa"/>
          </w:tcPr>
          <w:p w14:paraId="614CF2A6" w14:textId="77777777" w:rsidR="00113BB2" w:rsidRDefault="00000000">
            <w:pPr>
              <w:spacing w:after="40"/>
            </w:pPr>
            <w:r>
              <w:rPr>
                <w:sz w:val="19"/>
              </w:rPr>
              <w:t>A validation-readiness package for an SFC-approved reviewer, a verification protocol naming the ISO 14064-3:2019 clauses satisfied, and an Amazon due-diligence response package citing the methodology directly.</w:t>
            </w:r>
          </w:p>
        </w:tc>
        <w:tc>
          <w:tcPr>
            <w:tcW w:w="3264" w:type="dxa"/>
          </w:tcPr>
          <w:p w14:paraId="6005A6B1" w14:textId="77777777" w:rsidR="00113BB2" w:rsidRDefault="00000000">
            <w:pPr>
              <w:spacing w:after="40"/>
            </w:pPr>
            <w:r>
              <w:rPr>
                <w:sz w:val="19"/>
              </w:rPr>
              <w:t>SFC-SPEC-001 v01 §6.1.2, §6.1.3, §12; ISO 14064-3:2019; Amazon's approach to lower-carbon fuels</w:t>
            </w:r>
          </w:p>
        </w:tc>
      </w:tr>
      <w:tr w:rsidR="00113BB2" w14:paraId="7ADAFA13" w14:textId="77777777">
        <w:tc>
          <w:tcPr>
            <w:tcW w:w="3264" w:type="dxa"/>
          </w:tcPr>
          <w:p w14:paraId="3A66CF35" w14:textId="77777777" w:rsidR="00113BB2" w:rsidRDefault="00000000">
            <w:pPr>
              <w:spacing w:after="40"/>
            </w:pPr>
            <w:r>
              <w:rPr>
                <w:sz w:val="19"/>
              </w:rPr>
              <w:t>3.10 Worked example and QA pass</w:t>
            </w:r>
          </w:p>
        </w:tc>
        <w:tc>
          <w:tcPr>
            <w:tcW w:w="3264" w:type="dxa"/>
          </w:tcPr>
          <w:p w14:paraId="1527FF38" w14:textId="77777777" w:rsidR="00113BB2" w:rsidRDefault="00000000">
            <w:pPr>
              <w:spacing w:after="40"/>
            </w:pPr>
            <w:r>
              <w:rPr>
                <w:sz w:val="19"/>
              </w:rPr>
              <w:t>Charm's eight-tab LCA workbook populated with the finalized methodology, plus a QA memo confirming six known defects were checked and corrected: the global-warming-potential mismatch, two conflicting citations for one conversion figure, a missing References tab, internal row-reference errors, a stale data-vintage citation, and unverified production-period figures.</w:t>
            </w:r>
          </w:p>
        </w:tc>
        <w:tc>
          <w:tcPr>
            <w:tcW w:w="3264" w:type="dxa"/>
          </w:tcPr>
          <w:p w14:paraId="3A76CE74" w14:textId="77777777" w:rsidR="00113BB2" w:rsidRDefault="00000000">
            <w:pPr>
              <w:spacing w:after="40"/>
            </w:pPr>
            <w:r>
              <w:rPr>
                <w:sz w:val="19"/>
              </w:rPr>
              <w:t>Charm worked-example LCA workbook and its Methodology Overview and External Source Verification companions</w:t>
            </w:r>
          </w:p>
        </w:tc>
      </w:tr>
      <w:tr w:rsidR="00113BB2" w14:paraId="022404CD" w14:textId="77777777">
        <w:tc>
          <w:tcPr>
            <w:tcW w:w="3264" w:type="dxa"/>
          </w:tcPr>
          <w:p w14:paraId="3DB8A51C" w14:textId="77777777" w:rsidR="00113BB2" w:rsidRDefault="00000000">
            <w:pPr>
              <w:spacing w:after="40"/>
            </w:pPr>
            <w:r>
              <w:rPr>
                <w:sz w:val="19"/>
              </w:rPr>
              <w:t>3.11 Handover</w:t>
            </w:r>
          </w:p>
        </w:tc>
        <w:tc>
          <w:tcPr>
            <w:tcW w:w="3264" w:type="dxa"/>
          </w:tcPr>
          <w:p w14:paraId="6FA306E6" w14:textId="77777777" w:rsidR="00113BB2" w:rsidRDefault="00000000">
            <w:pPr>
              <w:spacing w:after="40"/>
            </w:pPr>
            <w:r>
              <w:rPr>
                <w:sz w:val="19"/>
              </w:rPr>
              <w:t>A finalized methodology document, a calculation workbook built to re-run each reporting period, a monitoring plan, a data dictionary of every input field, unit, source system and update frequency, and a recorded training session with written materials for Charm's MRV team.</w:t>
            </w:r>
          </w:p>
        </w:tc>
        <w:tc>
          <w:tcPr>
            <w:tcW w:w="3264" w:type="dxa"/>
          </w:tcPr>
          <w:p w14:paraId="5C4C9CB0" w14:textId="77777777" w:rsidR="00113BB2" w:rsidRDefault="00000000">
            <w:pPr>
              <w:spacing w:after="40"/>
            </w:pPr>
            <w:r>
              <w:rPr>
                <w:sz w:val="19"/>
              </w:rPr>
              <w:t>SFC-SPEC-001 v01 §3.25, §9.1; Charm Standard Emission Factors sheet</w:t>
            </w:r>
          </w:p>
        </w:tc>
      </w:tr>
    </w:tbl>
    <w:p w14:paraId="3AD8DF6D" w14:textId="77777777" w:rsidR="00113BB2" w:rsidRDefault="00113BB2">
      <w:pPr>
        <w:spacing w:after="40"/>
      </w:pPr>
    </w:p>
    <w:p w14:paraId="2D001FDC" w14:textId="77777777" w:rsidR="00113BB2" w:rsidRDefault="00000000">
      <w:r>
        <w:t>The four packages below carry rules a bidder needs in order to price the work.</w:t>
      </w:r>
    </w:p>
    <w:p w14:paraId="78D2FB6F" w14:textId="77777777" w:rsidR="00113BB2" w:rsidRDefault="00000000">
      <w:r>
        <w:rPr>
          <w:b/>
        </w:rPr>
        <w:t>3.4 Free attribution guardrails.</w:t>
      </w:r>
      <w:r>
        <w:t xml:space="preserve"> RSB-STD-01-010 v2.8 §2.4.2, p.11 gives three documentation methods; Charm has chosen the third, to "attribute the bio-based portions of the input(s) or feedstock(s) to specific product(s) or output(s) using flexible attribution, as described in section 2.4.5." Five guardrails become explicit controls: documentation of inputs, carbon content and losses (§2.4.5.1, p.12); a documented book-keeping system (§2.4.5.2, p.12); a three-month balancing period RG-2024-06 says must not be broken for any reason (§2.4.5.3, </w:t>
      </w:r>
      <w:r>
        <w:lastRenderedPageBreak/>
        <w:t>p.12); the site boundary (§2.4.5.4, p.12); and a cross-site carbon-conversion-efficiency cap of 5%, the lower-value site used in calculations (RG-2024-06, p.3). Annex IV, p.26 caps claimable carbon at feedstock mass × carbon content × carbon conversion efficiency, on an annual average (Note 1), apportioned across products (Note 3, p.27). Note 7, p.28 fixes what free allocation does not cover: "Allocation of the GHG emissions among the outputs shall be performed on an energy basis." The methodology must run free allocation of the carbon claim alongside energy-basis allocation of the emissions and say plainly which rule governs which number. RG-2024-06 bounds where the approach ends: "Flexible allocation can only occur up to the blend point where biofuels are blended with conventional fuels - a book and claim approach shall be used for blended fuels after this point." Two further questions are the developer's to settle with citations: the claim wording supported under §2.4 rather than §2.5, and whether radiocarbon under §2.4.4 substantiates the presence of biogenic carbon or measures each output's share.</w:t>
      </w:r>
    </w:p>
    <w:p w14:paraId="5104BA39" w14:textId="77777777" w:rsidR="00113BB2" w:rsidRDefault="00000000">
      <w:r>
        <w:rPr>
          <w:b/>
        </w:rPr>
        <w:t>3.5 SFC MBM conformance and disclosed deviations.</w:t>
      </w:r>
      <w:r>
        <w:t xml:space="preserve"> Registration runs on the non-certified track: SFC-SPEC-001 v01 §6.1, p.10 provides that "If no certification system is used, clause 6.1.2 is applicable", §6.1.2, p.10 requires a tracking system that is "transparent and verifiable", and §6.1.3, p.11 requires that for non-certified Solutions "the underlying calculations, data sources and production processes shall be disclosed in the Report." Neither the specification nor the Framework uses the phrase "free allocation" or the term "co-processing"; every allocation clause ties a claimed profile to actual transport activity. The developer must bridge the RSB-derived rule into that vocabulary, classify the claim as direct or indirect generation, and — if indirect — meet the additionality test, since Framework v1.0, p.29 states that "All indirect LETS must therefore be additional." Every departure goes in the deviations register, disclosed under §6.1.3.</w:t>
      </w:r>
    </w:p>
    <w:p w14:paraId="3D6901F0" w14:textId="77777777" w:rsidR="00113BB2" w:rsidRDefault="00000000">
      <w:r>
        <w:rPr>
          <w:b/>
        </w:rPr>
        <w:t>3.7 Stacking assessment.</w:t>
      </w:r>
      <w:r>
        <w:t xml:space="preserve"> These programs are not conformance targets, but the developer must assess how each interacts with the voluntary claim and flag any design choice that would break a stack. The refinery partner, not Charm, holds any RIN certification. Charm's refinery-side economic modelling indicates compliance-credit stacking is material to project viability. LCFS compatibility is supported by SABA Sustainability Framework V3 §6, p.11: "in California, LCFS credits cannot be sold into the cap-and-trade system. As a result, the SAF purchase results in net emissions reductions even when LCFS credits are claimed for the same fuel." 45Z eligibility for a facility selling bio-oil to a refiner for co-processing is under outside legal review. </w:t>
      </w:r>
      <w:r>
        <w:rPr>
          <w:highlight w:val="yellow"/>
        </w:rPr>
        <w:t>[PLACEHOLDER: 45Z legal memo in progress.]</w:t>
      </w:r>
      <w:r>
        <w:t xml:space="preserve"> </w:t>
      </w:r>
      <w:r>
        <w:rPr>
          <w:highlight w:val="yellow"/>
        </w:rPr>
        <w:t>[PLACEHOLDER: refinery economic model under third-party NDA; developer access to be negotiated separately.]</w:t>
      </w:r>
    </w:p>
    <w:p w14:paraId="007C16E1" w14:textId="77777777" w:rsidR="00113BB2" w:rsidRDefault="00000000">
      <w:r>
        <w:rPr>
          <w:b/>
        </w:rPr>
        <w:t>3.8 Certification and SAFc Registry gap analysis.</w:t>
      </w:r>
      <w:r>
        <w:t xml:space="preserve"> The SAFc Registry has no non-certified track: under §6.2, item 7, "SAFc may only be issued for SAF that is actively certified as sustainable under one of the following certification schemes: RSB CORSIA, ISCC CORSIA, ClassNK CORSIA, RSB EU RED, ISCC EU, RSB Global, ISCC Plus". SABA's Eligible Registries list (March 16, 2026) confirms 123 Carbon does not qualify: "The following registries currently qualify for the SABA-Eligible Registries list: 1. SAFc Registry 2. RSB Book &amp; Claim Registry 3. ISCC Registry 4. CADO SAF Registry 5. Avelia". Charm is not certifying now for two recorded reasons: RSB Global's GHG methodology requires economic-value co-product allocation, conflicting with Charm's applied carbon-mass procedure, and RSB-STD-01-010 v2.8 §3.5, p.15 requires evidence that forestry harvesting residues derive from forests certified by RSB, the Forest Stewardship Council, or an RSB-approved equivalent — certification Charm's supply base does not have. The gap analysis must state, for every gate, whether Charm's design meets it and what must change if not. Certification is not to be presented as a simple application step. </w:t>
      </w:r>
      <w:r>
        <w:rPr>
          <w:highlight w:val="yellow"/>
        </w:rPr>
        <w:t>[PLACEHOLDER: confirm no newer numbered version of the SAFc Registry Rulebook supersedes the copy provided.]</w:t>
      </w:r>
    </w:p>
    <w:p w14:paraId="33865C2D" w14:textId="77777777" w:rsidR="00113BB2" w:rsidRDefault="00000000">
      <w:r>
        <w:t xml:space="preserve">Further package-level placeholders: </w:t>
      </w:r>
      <w:r>
        <w:rPr>
          <w:highlight w:val="yellow"/>
        </w:rPr>
        <w:t>[PLACEHOLDER: refinery partner not yet finalized.]</w:t>
      </w:r>
      <w:r>
        <w:t xml:space="preserve"> </w:t>
      </w:r>
      <w:r>
        <w:rPr>
          <w:highlight w:val="yellow"/>
        </w:rPr>
        <w:t>[PLACEHOLDER: Project Plan Part 8 risk register to be supplied in full.]</w:t>
      </w:r>
      <w:r>
        <w:t xml:space="preserve"> </w:t>
      </w:r>
      <w:r>
        <w:rPr>
          <w:highlight w:val="yellow"/>
        </w:rPr>
        <w:t>[PLACEHOLDER: 123 Carbon certificate template and data-point overview requested, not yet received.]</w:t>
      </w:r>
      <w:r>
        <w:t xml:space="preserve"> </w:t>
      </w:r>
      <w:r>
        <w:rPr>
          <w:highlight w:val="yellow"/>
        </w:rPr>
        <w:t xml:space="preserve">[PLACEHOLDER: refinery data package is this work package's own </w:t>
      </w:r>
      <w:r>
        <w:rPr>
          <w:highlight w:val="yellow"/>
        </w:rPr>
        <w:lastRenderedPageBreak/>
        <w:t>deliverable, not a pre-existing source.]</w:t>
      </w:r>
      <w:r>
        <w:t xml:space="preserve"> </w:t>
      </w:r>
      <w:r>
        <w:rPr>
          <w:highlight w:val="yellow"/>
        </w:rPr>
        <w:t>[PLACEHOLDER: Amazon's forthcoming fuel criteria document — confirm publication status before this work package starts.]</w:t>
      </w:r>
    </w:p>
    <w:p w14:paraId="448B0B28" w14:textId="77777777" w:rsidR="00113BB2" w:rsidRDefault="00000000">
      <w:pPr>
        <w:pStyle w:val="Heading2"/>
      </w:pPr>
      <w:r>
        <w:t>4. What the Methodology Must Conform To</w:t>
      </w:r>
    </w:p>
    <w:p w14:paraId="2537D696" w14:textId="77777777" w:rsidR="00113BB2" w:rsidRDefault="00000000">
      <w:r>
        <w:t>Quotes are verbatim from source. The reading of each is Charm's own, not source text.</w:t>
      </w:r>
    </w:p>
    <w:p w14:paraId="6A2FFA94" w14:textId="77777777" w:rsidR="00113BB2" w:rsidRDefault="00000000">
      <w:r>
        <w:rPr>
          <w:b/>
        </w:rPr>
        <w:t>SFC MBM Specification (SFC-SPEC-001 v01) and MBM Framework v1.0.</w:t>
      </w:r>
      <w:r>
        <w:t xml:space="preserve"> The non-certified track is invoked explicitly: "If no certification system is used, clause 6.1.2 is applicable" (§6.1, p.10), and the tracking system must be "transparent and verifiable" (§6.1.2, p.10). Full calculations, data sources and production processes go in the Report (§6.1.3, p.11), and the Sustainability Profile, down to "applicable fuel batch ID data" (§3.25, p.8), must be produced at batch level. A Solution profile must be "booked within 12 months of production of solution" (§7.2, p.13), with six dates plus the chain-of-custody model documented (§7.3, p.13). Double-counting checks (§7.8, p.14), unbundling records (§8.1, p.15) and error correction (§8.2, p.15) must all be documented, and indirect claims are gated on additionality (Framework v1.0, p.29). </w:t>
      </w:r>
      <w:r>
        <w:rPr>
          <w:b/>
        </w:rPr>
        <w:t>Silent on:</w:t>
      </w:r>
      <w:r>
        <w:t xml:space="preserve"> neither document contains the phrase "free allocation" or the terms "co-process" or "co-processing".</w:t>
      </w:r>
    </w:p>
    <w:p w14:paraId="4DACE18C" w14:textId="77777777" w:rsidR="00113BB2" w:rsidRDefault="00000000">
      <w:r>
        <w:rPr>
          <w:b/>
        </w:rPr>
        <w:t>Amazon's approach to lower-carbon fuels.</w:t>
      </w:r>
      <w:r>
        <w:t xml:space="preserve"> Amazon "prioritizes fuels certified under established fuel-sector schemes such as the Roundtable for Sustainable Biomaterials (RSB) and the International Sustainability and Carbon Certification (ISCC)" (Ch.3), so this route runs on the fallback: where certification does not cover a fuel or geography, "Amazon evaluates supplier-provided evidence—including attestations on feedstock type, geographic origin, and land-use history" (Ch.3), backed by third-party verification of collection records, volume reconciliation and feedstock origin. Carbon intensity must be full well-to-wake, with no co-product displacement credit, and credit volume is capped at the buyer's own related activity. Amazon's allocation model is a scope split, not free allocation: "Co-claiming is the practice of recognizing Scope 1 and Scope 3 benefits from a single SAF intervention for different parties" (SAF case study §3); both must coexist. </w:t>
      </w:r>
      <w:r>
        <w:rPr>
          <w:b/>
        </w:rPr>
        <w:t>Silent on:</w:t>
      </w:r>
      <w:r>
        <w:t xml:space="preserve"> "free allocation", "co-processing", "refinery", "123 Carbon", "Smart Freight Centre" and "MBM" do not appear in Amazon's published lower-carbon-fuels material, so Amazon's approval of the allocation method and of 123 Carbon must be confirmed directly.</w:t>
      </w:r>
    </w:p>
    <w:p w14:paraId="7C559345" w14:textId="77777777" w:rsidR="00113BB2" w:rsidRDefault="00000000">
      <w:r>
        <w:rPr>
          <w:b/>
        </w:rPr>
        <w:t>SABA Sustainability Framework Version 3 (adopted March 26, 2025, binding; Version 4 Draft, July 2026, not binding).</w:t>
      </w:r>
      <w:r>
        <w:t xml:space="preserve"> Certification is a precondition — "For SAF to be SABA Eligible, it must be certified by a CORSIA-approved SCS" or, for waste and residue feedstocks, RSB Global, RSB EU, ISCC Plus or ISCC EU (V3 §4, p.7) — and so is the registry: "All SAF certificates must be registered in the SAFc Registry or other SABA-eligible registries listed on the SABA website" (V3 §8, p.12). The route itself is accepted: "The criteria in this framework apply equally to SAF produced at dedicated SAF production facilities and via co-processing" (V3 §1, p.3). The lifecycle value "should be at least 60% lower than the lifecycle emissions of fossil jet fuel" (V3 §2, p.4), against a baseline matched to the scheme (90g for RSB Global), restated as a must at V4 §3, p.9. The default allocation basis is energy: emissions are "allocated between co-products based on the products' embodied energy content" (SAFc Accounting and Reporting Guidelines §1.2). </w:t>
      </w:r>
      <w:r>
        <w:rPr>
          <w:b/>
        </w:rPr>
        <w:t>Silent on:</w:t>
      </w:r>
      <w:r>
        <w:t xml:space="preserve"> co-processing appears only as that bare statement of equal treatment, with no allocation detail, and no SABA document uses the term "free allocation". The energy default must be reconciled with flexible attribution before the credit is called consistent with SABA.</w:t>
      </w:r>
    </w:p>
    <w:p w14:paraId="79FFAEFB" w14:textId="77777777" w:rsidR="00113BB2" w:rsidRDefault="00000000">
      <w:r>
        <w:rPr>
          <w:b/>
        </w:rPr>
        <w:t>SAFc Registry Rulebook.</w:t>
      </w:r>
      <w:r>
        <w:t xml:space="preserve"> Issuance is closed to a non-certified claim: a SAFc "can be issued in the registry if the corresponding SAF volume is certified to an approved sustainability certification scheme" (§6.2, item 1), against the closed scheme list at item 7, and the requesting party "must have a valid and active 1) RSB Book &amp; Claim Trader Certification", ISCC or ClassNK equivalent (item 2). "Unit blocks can only be issued after the SAF is blended or certified as drop-in according to ASTM Standard D7566 or D1655" (item 5), one batch may support multiple issuances (item 6), and the administrator checks the batch was not already used (item 9). Batch records must carry the §3.2 data elements and the Annex H retirement fields, and "A SAFc shall be valid for 24 months after its </w:t>
      </w:r>
      <w:r>
        <w:lastRenderedPageBreak/>
        <w:t xml:space="preserve">issuance" (§3.9) — tracked separately from the 12-month booking rule. </w:t>
      </w:r>
      <w:r>
        <w:rPr>
          <w:b/>
        </w:rPr>
        <w:t>Silent on:</w:t>
      </w:r>
      <w:r>
        <w:t xml:space="preserve"> the Rulebook does not address co-processing directly, reaching it only through ISCC PLUS certification references, and describes no technical bridge to 123 Carbon.</w:t>
      </w:r>
    </w:p>
    <w:p w14:paraId="60E8C932" w14:textId="77777777" w:rsidR="00113BB2" w:rsidRDefault="00000000">
      <w:pPr>
        <w:pStyle w:val="Heading2"/>
      </w:pPr>
      <w:r>
        <w:t>5. Known Open Issues</w:t>
      </w:r>
    </w:p>
    <w:p w14:paraId="5D7B604C" w14:textId="77777777" w:rsidR="00113BB2" w:rsidRDefault="00000000">
      <w:r>
        <w:t>Each is the developer's to resolve.</w:t>
      </w:r>
    </w:p>
    <w:p w14:paraId="612A3B58" w14:textId="77777777" w:rsidR="00113BB2" w:rsidRDefault="00000000">
      <w:pPr>
        <w:pStyle w:val="ListNumber"/>
      </w:pPr>
      <w:r>
        <w:t>RSB-GUI-PG-2025-02 states at §2, p.2 that it is "directly related to the requirements stated in the Standard for EU Market Access [RSB-STD-11-001] and RSB EU RED Procedure for Traceability [RSB-PRO-11-001-20-001]." RSB-STD-01-010 v2.8 is not named: either find a provision extending it to RSB Global Advanced Fuels co-processing, or treat the equation as a cross-scheme analogy and disclose that. (WP 3.3)</w:t>
      </w:r>
    </w:p>
    <w:p w14:paraId="2C3382DA" w14:textId="77777777" w:rsidR="00113BB2" w:rsidRDefault="00000000">
      <w:pPr>
        <w:pStyle w:val="ListNumber"/>
      </w:pPr>
      <w:r>
        <w:t>Three allocation bases must be reconciled and their domains disclosed: carbon mass at the pyrolyzer, energy content at the refinery inlet and across outputs, economic value under RSB's GHG methodology. (WP 3.3, 3.4, 3.8)</w:t>
      </w:r>
    </w:p>
    <w:p w14:paraId="4F2F9D8A" w14:textId="77777777" w:rsidR="00113BB2" w:rsidRDefault="00000000">
      <w:pPr>
        <w:pStyle w:val="ListNumber"/>
      </w:pPr>
      <w:r>
        <w:t>ISCC PLUS 203-2 v1.1 §6.4.2, p.26 permits free attribution while ISCC EU 205 v4.1 §4.3.8.1 sets an energy-content Allocation Factor; how the two interact here is not established. (WP 3.4, 3.8)</w:t>
      </w:r>
    </w:p>
    <w:p w14:paraId="70BBA7BF" w14:textId="77777777" w:rsidR="00113BB2" w:rsidRDefault="00000000">
      <w:pPr>
        <w:pStyle w:val="ListNumber"/>
      </w:pPr>
      <w:r>
        <w:t>The extra refinery inputs needed to process bio-oil are not quantified, so the e_additional term is currently zero in Charm's model. (WP 3.3)</w:t>
      </w:r>
    </w:p>
    <w:p w14:paraId="6A1F4AD0" w14:textId="77777777" w:rsidR="00113BB2" w:rsidRDefault="00000000">
      <w:pPr>
        <w:pStyle w:val="ListNumber"/>
      </w:pPr>
      <w:r>
        <w:t>No refinery partner is finalized; the refinery is modeled as a generic proxy, and the methodology must accept real refinery data later. (WP 3.3)</w:t>
      </w:r>
    </w:p>
    <w:p w14:paraId="4D85F424" w14:textId="77777777" w:rsidR="00113BB2" w:rsidRDefault="00000000">
      <w:pPr>
        <w:pStyle w:val="ListNumber"/>
      </w:pPr>
      <w:r>
        <w:t>The SFC vocabulary bridge: the Framework bounds allocation by transport activity, with no concept of assigning a shared feedstock's whole credit to one co-processed output. (WP 3.5)</w:t>
      </w:r>
    </w:p>
    <w:p w14:paraId="26F3D61B" w14:textId="77777777" w:rsidR="00113BB2" w:rsidRDefault="00000000">
      <w:pPr>
        <w:pStyle w:val="ListNumber"/>
      </w:pPr>
      <w:r>
        <w:t>Neither Amazon nor SABA has pre-approved free allocation or the 123 Carbon registry; both need direct confirmation. (WP 3.8, 3.9)</w:t>
      </w:r>
    </w:p>
    <w:p w14:paraId="73699928" w14:textId="77777777" w:rsidR="00113BB2" w:rsidRDefault="00000000">
      <w:pPr>
        <w:pStyle w:val="ListNumber"/>
      </w:pPr>
      <w:r>
        <w:t>The carbon-to-fuel conversion factor 0.9313 has two conflicting citations in Charm's files and no verified public source. (WP 3.4, 3.10)</w:t>
      </w:r>
    </w:p>
    <w:p w14:paraId="35257B15" w14:textId="77777777" w:rsidR="00113BB2" w:rsidRDefault="00000000">
      <w:pPr>
        <w:pStyle w:val="ListNumber"/>
      </w:pPr>
      <w:r>
        <w:t>The global-warming-potential set is inconsistent between Charm's worked-example workbook and its accompanying deck; one vintage must be chosen and disclosed. (WP 3.10)</w:t>
      </w:r>
    </w:p>
    <w:p w14:paraId="79EFAF84" w14:textId="77777777" w:rsidR="00113BB2" w:rsidRDefault="00000000">
      <w:pPr>
        <w:pStyle w:val="ListNumber"/>
      </w:pPr>
      <w:r>
        <w:t>Stacking is unresolved: RIN and LCFS participation depends on the unfinalized refinery partner, and SABA's compatible-program list must be confirmed to hold once free allocation and a non-RSB, non-ISCC registry are added. (WP 3.7)</w:t>
      </w:r>
    </w:p>
    <w:p w14:paraId="7B2D4174" w14:textId="77777777" w:rsidR="00113BB2" w:rsidRDefault="00000000">
      <w:pPr>
        <w:pStyle w:val="ListNumber"/>
      </w:pPr>
      <w:r>
        <w:t>Claim labelling, including whether §2.4 or §2.5 of RSB-STD-01-010 v2.8 governs the permitted wording. (WP 3.4)</w:t>
      </w:r>
    </w:p>
    <w:p w14:paraId="1234EB91" w14:textId="77777777" w:rsidR="00113BB2" w:rsidRDefault="00000000">
      <w:pPr>
        <w:pStyle w:val="ListNumber"/>
      </w:pPr>
      <w:r>
        <w:t>The radiocarbon reading of RSB-STD-01-010 v2.8 §2.4.4. (WP 3.4)</w:t>
      </w:r>
    </w:p>
    <w:p w14:paraId="133DC6DC" w14:textId="77777777" w:rsidR="00113BB2" w:rsidRDefault="00000000">
      <w:pPr>
        <w:pStyle w:val="ListNumber"/>
      </w:pPr>
      <w:r>
        <w:t>GHG Accounting Module v1.1 §6.1 Procedure 4 triggers on its own condition: "Physical allocation based on carbon mass balance shall be used in instances where the co-product leads to Crediting for CDR with Isometric". Bio-oil routed to SAF does not, so the developer must state how the upstream split applies and whether the remaining products' allocation changes. (WP 3.2)</w:t>
      </w:r>
    </w:p>
    <w:p w14:paraId="4402ADB4" w14:textId="77777777" w:rsidR="00113BB2" w:rsidRDefault="00000000">
      <w:pPr>
        <w:pStyle w:val="Heading2"/>
      </w:pPr>
      <w:r>
        <w:t>6. Proposal Requirements and Process</w:t>
      </w:r>
    </w:p>
    <w:p w14:paraId="35CEACAE" w14:textId="77777777" w:rsidR="00113BB2" w:rsidRDefault="00000000">
      <w:pPr>
        <w:pStyle w:val="Heading3"/>
      </w:pPr>
      <w:r>
        <w:t>6.1 What to submit</w:t>
      </w:r>
    </w:p>
    <w:p w14:paraId="54C36454" w14:textId="77777777" w:rsidR="00113BB2" w:rsidRDefault="00000000">
      <w:pPr>
        <w:pStyle w:val="ListBullet"/>
      </w:pPr>
      <w:r>
        <w:t>Your understanding of the problem: free-allocation SAF credit accounting for pyrolysis bio-oil co-processed at an FCC refinery, built on Charm's verified upstream accounting.</w:t>
      </w:r>
    </w:p>
    <w:p w14:paraId="66ECD18A" w14:textId="77777777" w:rsidR="00113BB2" w:rsidRDefault="00000000">
      <w:pPr>
        <w:pStyle w:val="ListBullet"/>
      </w:pPr>
      <w:r>
        <w:t>Your technical approach, broken out by work package.</w:t>
      </w:r>
    </w:p>
    <w:p w14:paraId="262F91F9" w14:textId="77777777" w:rsidR="00113BB2" w:rsidRDefault="00000000">
      <w:pPr>
        <w:pStyle w:val="ListBullet"/>
      </w:pPr>
      <w:r>
        <w:lastRenderedPageBreak/>
        <w:t>Your team and a named lead, with experience in voluntary fuel methodologies, co-processing life-cycle assessment, the SFC Market Based Measures framework, RSB and ISCC standards, and registry design or operation.</w:t>
      </w:r>
    </w:p>
    <w:p w14:paraId="09FFB415" w14:textId="77777777" w:rsidR="00113BB2" w:rsidRDefault="00000000">
      <w:pPr>
        <w:pStyle w:val="ListBullet"/>
      </w:pPr>
      <w:r>
        <w:t>Relevant past work: methodologies authored, standards contributed to, similar co-processing or book-and-claim engagements.</w:t>
      </w:r>
    </w:p>
    <w:p w14:paraId="31AC4D11" w14:textId="77777777" w:rsidR="00113BB2" w:rsidRDefault="00000000">
      <w:pPr>
        <w:pStyle w:val="ListBullet"/>
      </w:pPr>
      <w:r>
        <w:t>A work plan and schedule.</w:t>
      </w:r>
    </w:p>
    <w:p w14:paraId="3A154AEF" w14:textId="77777777" w:rsidR="00113BB2" w:rsidRDefault="00000000">
      <w:pPr>
        <w:pStyle w:val="ListBullet"/>
      </w:pPr>
      <w:r>
        <w:t>Assumptions and dependencies on Charm: data, access, and decisions Charm must make or provide.</w:t>
      </w:r>
    </w:p>
    <w:p w14:paraId="5DE890C8" w14:textId="77777777" w:rsidR="00113BB2" w:rsidRDefault="00000000">
      <w:pPr>
        <w:pStyle w:val="ListBullet"/>
      </w:pPr>
      <w:r>
        <w:t xml:space="preserve">Pricing structure. A fixed fee by work package is preferred. Charm budget guidance: </w:t>
      </w:r>
      <w:r>
        <w:rPr>
          <w:highlight w:val="yellow"/>
        </w:rPr>
        <w:t>[PLACEHOLDER: budget range]</w:t>
      </w:r>
      <w:r>
        <w:t>.</w:t>
      </w:r>
    </w:p>
    <w:p w14:paraId="3E074051" w14:textId="77777777" w:rsidR="00113BB2" w:rsidRDefault="00000000">
      <w:pPr>
        <w:pStyle w:val="ListBullet"/>
      </w:pPr>
      <w:r>
        <w:t>Conflicts of interest, including any role you or your firm holds as a verifier, registry operator, or certification body relevant to this pathway.</w:t>
      </w:r>
    </w:p>
    <w:p w14:paraId="373B4056" w14:textId="77777777" w:rsidR="00113BB2" w:rsidRDefault="00000000">
      <w:pPr>
        <w:pStyle w:val="ListBullet"/>
      </w:pPr>
      <w:r>
        <w:t>References.</w:t>
      </w:r>
    </w:p>
    <w:p w14:paraId="77200612" w14:textId="77777777" w:rsidR="00113BB2" w:rsidRDefault="00000000">
      <w:pPr>
        <w:pStyle w:val="Heading3"/>
      </w:pPr>
      <w:r>
        <w:t>6.2 Evaluation criteria</w:t>
      </w:r>
    </w:p>
    <w:tbl>
      <w:tblPr>
        <w:tblStyle w:val="TableGrid"/>
        <w:tblW w:w="0" w:type="auto"/>
        <w:tblLook w:val="04A0" w:firstRow="1" w:lastRow="0" w:firstColumn="1" w:lastColumn="0" w:noHBand="0" w:noVBand="1"/>
      </w:tblPr>
      <w:tblGrid>
        <w:gridCol w:w="3264"/>
        <w:gridCol w:w="3264"/>
        <w:gridCol w:w="3264"/>
      </w:tblGrid>
      <w:tr w:rsidR="00113BB2" w14:paraId="00CA5420" w14:textId="77777777">
        <w:tc>
          <w:tcPr>
            <w:tcW w:w="3264" w:type="dxa"/>
          </w:tcPr>
          <w:p w14:paraId="2295D0C9" w14:textId="77777777" w:rsidR="00113BB2" w:rsidRDefault="00000000">
            <w:pPr>
              <w:spacing w:after="40"/>
            </w:pPr>
            <w:r>
              <w:rPr>
                <w:b/>
                <w:sz w:val="19"/>
              </w:rPr>
              <w:t>Criterion</w:t>
            </w:r>
          </w:p>
        </w:tc>
        <w:tc>
          <w:tcPr>
            <w:tcW w:w="3264" w:type="dxa"/>
          </w:tcPr>
          <w:p w14:paraId="6877663D" w14:textId="77777777" w:rsidR="00113BB2" w:rsidRDefault="00000000">
            <w:pPr>
              <w:spacing w:after="40"/>
            </w:pPr>
            <w:r>
              <w:rPr>
                <w:b/>
                <w:sz w:val="19"/>
              </w:rPr>
              <w:t>Weight</w:t>
            </w:r>
          </w:p>
        </w:tc>
        <w:tc>
          <w:tcPr>
            <w:tcW w:w="3264" w:type="dxa"/>
          </w:tcPr>
          <w:p w14:paraId="479A2D58" w14:textId="77777777" w:rsidR="00113BB2" w:rsidRDefault="00000000">
            <w:pPr>
              <w:spacing w:after="40"/>
            </w:pPr>
            <w:r>
              <w:rPr>
                <w:b/>
                <w:sz w:val="19"/>
              </w:rPr>
              <w:t>Description</w:t>
            </w:r>
          </w:p>
        </w:tc>
      </w:tr>
      <w:tr w:rsidR="00113BB2" w14:paraId="4B432A95" w14:textId="77777777">
        <w:tc>
          <w:tcPr>
            <w:tcW w:w="3264" w:type="dxa"/>
          </w:tcPr>
          <w:p w14:paraId="6D0A0A37" w14:textId="77777777" w:rsidR="00113BB2" w:rsidRDefault="00000000">
            <w:pPr>
              <w:spacing w:after="40"/>
            </w:pPr>
            <w:r>
              <w:rPr>
                <w:sz w:val="19"/>
              </w:rPr>
              <w:t>Technical soundness and fit to free allocation</w:t>
            </w:r>
          </w:p>
        </w:tc>
        <w:tc>
          <w:tcPr>
            <w:tcW w:w="3264" w:type="dxa"/>
          </w:tcPr>
          <w:p w14:paraId="3536E1D5" w14:textId="77777777" w:rsidR="00113BB2" w:rsidRDefault="00000000">
            <w:pPr>
              <w:spacing w:after="40"/>
            </w:pPr>
            <w:r>
              <w:rPr>
                <w:sz w:val="19"/>
                <w:highlight w:val="yellow"/>
              </w:rPr>
              <w:t>[PLACEHOLDER: weight]</w:t>
            </w:r>
            <w:r>
              <w:rPr>
                <w:sz w:val="19"/>
              </w:rPr>
              <w:t>%</w:t>
            </w:r>
          </w:p>
        </w:tc>
        <w:tc>
          <w:tcPr>
            <w:tcW w:w="3264" w:type="dxa"/>
          </w:tcPr>
          <w:p w14:paraId="1582855E" w14:textId="77777777" w:rsidR="00113BB2" w:rsidRDefault="00000000">
            <w:pPr>
              <w:spacing w:after="40"/>
            </w:pPr>
            <w:r>
              <w:rPr>
                <w:sz w:val="19"/>
              </w:rPr>
              <w:t>How rigorously the approach supports assigning the full biogenic credit to the jet fraction.</w:t>
            </w:r>
          </w:p>
        </w:tc>
      </w:tr>
      <w:tr w:rsidR="00113BB2" w14:paraId="39A69CEB" w14:textId="77777777">
        <w:tc>
          <w:tcPr>
            <w:tcW w:w="3264" w:type="dxa"/>
          </w:tcPr>
          <w:p w14:paraId="6AC58240" w14:textId="77777777" w:rsidR="00113BB2" w:rsidRDefault="00000000">
            <w:pPr>
              <w:spacing w:after="40"/>
            </w:pPr>
            <w:r>
              <w:rPr>
                <w:sz w:val="19"/>
              </w:rPr>
              <w:t>Conformance fluency (SFC-SPEC-001 v01, SABA, Amazon)</w:t>
            </w:r>
          </w:p>
        </w:tc>
        <w:tc>
          <w:tcPr>
            <w:tcW w:w="3264" w:type="dxa"/>
          </w:tcPr>
          <w:p w14:paraId="3622AF36" w14:textId="77777777" w:rsidR="00113BB2" w:rsidRDefault="00000000">
            <w:pPr>
              <w:spacing w:after="40"/>
            </w:pPr>
            <w:r>
              <w:rPr>
                <w:sz w:val="19"/>
                <w:highlight w:val="yellow"/>
              </w:rPr>
              <w:t>[PLACEHOLDER: weight]</w:t>
            </w:r>
            <w:r>
              <w:rPr>
                <w:sz w:val="19"/>
              </w:rPr>
              <w:t>%</w:t>
            </w:r>
          </w:p>
        </w:tc>
        <w:tc>
          <w:tcPr>
            <w:tcW w:w="3264" w:type="dxa"/>
          </w:tcPr>
          <w:p w14:paraId="6BA87BE9" w14:textId="77777777" w:rsidR="00113BB2" w:rsidRDefault="00000000">
            <w:pPr>
              <w:spacing w:after="40"/>
            </w:pPr>
            <w:r>
              <w:rPr>
                <w:sz w:val="19"/>
              </w:rPr>
              <w:t>Command of the specific frameworks this methodology must satisfy.</w:t>
            </w:r>
          </w:p>
        </w:tc>
      </w:tr>
      <w:tr w:rsidR="00113BB2" w14:paraId="48A0B5FD" w14:textId="77777777">
        <w:tc>
          <w:tcPr>
            <w:tcW w:w="3264" w:type="dxa"/>
          </w:tcPr>
          <w:p w14:paraId="47DEC634" w14:textId="77777777" w:rsidR="00113BB2" w:rsidRDefault="00000000">
            <w:pPr>
              <w:spacing w:after="40"/>
            </w:pPr>
            <w:r>
              <w:rPr>
                <w:sz w:val="19"/>
              </w:rPr>
              <w:t>Certification and registry experience</w:t>
            </w:r>
          </w:p>
        </w:tc>
        <w:tc>
          <w:tcPr>
            <w:tcW w:w="3264" w:type="dxa"/>
          </w:tcPr>
          <w:p w14:paraId="486682C5" w14:textId="77777777" w:rsidR="00113BB2" w:rsidRDefault="00000000">
            <w:pPr>
              <w:spacing w:after="40"/>
            </w:pPr>
            <w:r>
              <w:rPr>
                <w:sz w:val="19"/>
                <w:highlight w:val="yellow"/>
              </w:rPr>
              <w:t>[PLACEHOLDER: weight]</w:t>
            </w:r>
            <w:r>
              <w:rPr>
                <w:sz w:val="19"/>
              </w:rPr>
              <w:t>%</w:t>
            </w:r>
          </w:p>
        </w:tc>
        <w:tc>
          <w:tcPr>
            <w:tcW w:w="3264" w:type="dxa"/>
          </w:tcPr>
          <w:p w14:paraId="1FB39D27" w14:textId="77777777" w:rsidR="00113BB2" w:rsidRDefault="00000000">
            <w:pPr>
              <w:spacing w:after="40"/>
            </w:pPr>
            <w:r>
              <w:rPr>
                <w:sz w:val="19"/>
              </w:rPr>
              <w:t>Track record with RSB, ISCC, 123 Carbon, or comparable registries.</w:t>
            </w:r>
          </w:p>
        </w:tc>
      </w:tr>
      <w:tr w:rsidR="00113BB2" w14:paraId="6BF26B9B" w14:textId="77777777">
        <w:tc>
          <w:tcPr>
            <w:tcW w:w="3264" w:type="dxa"/>
          </w:tcPr>
          <w:p w14:paraId="58727610" w14:textId="77777777" w:rsidR="00113BB2" w:rsidRDefault="00000000">
            <w:pPr>
              <w:spacing w:after="40"/>
            </w:pPr>
            <w:r>
              <w:rPr>
                <w:sz w:val="19"/>
              </w:rPr>
              <w:t>Verification readiness</w:t>
            </w:r>
          </w:p>
        </w:tc>
        <w:tc>
          <w:tcPr>
            <w:tcW w:w="3264" w:type="dxa"/>
          </w:tcPr>
          <w:p w14:paraId="3A2824C5" w14:textId="77777777" w:rsidR="00113BB2" w:rsidRDefault="00000000">
            <w:pPr>
              <w:spacing w:after="40"/>
            </w:pPr>
            <w:r>
              <w:rPr>
                <w:sz w:val="19"/>
                <w:highlight w:val="yellow"/>
              </w:rPr>
              <w:t>[PLACEHOLDER: weight]</w:t>
            </w:r>
            <w:r>
              <w:rPr>
                <w:sz w:val="19"/>
              </w:rPr>
              <w:t>%</w:t>
            </w:r>
          </w:p>
        </w:tc>
        <w:tc>
          <w:tcPr>
            <w:tcW w:w="3264" w:type="dxa"/>
          </w:tcPr>
          <w:p w14:paraId="3117750E" w14:textId="77777777" w:rsidR="00113BB2" w:rsidRDefault="00000000">
            <w:pPr>
              <w:spacing w:after="40"/>
            </w:pPr>
            <w:r>
              <w:rPr>
                <w:sz w:val="19"/>
              </w:rPr>
              <w:t>How well the methodology sets up a clean third-party validation and verification review.</w:t>
            </w:r>
          </w:p>
        </w:tc>
      </w:tr>
      <w:tr w:rsidR="00113BB2" w14:paraId="0892561F" w14:textId="77777777">
        <w:tc>
          <w:tcPr>
            <w:tcW w:w="3264" w:type="dxa"/>
          </w:tcPr>
          <w:p w14:paraId="4E170B20" w14:textId="77777777" w:rsidR="00113BB2" w:rsidRDefault="00000000">
            <w:pPr>
              <w:spacing w:after="40"/>
            </w:pPr>
            <w:r>
              <w:rPr>
                <w:sz w:val="19"/>
              </w:rPr>
              <w:t>Schedule</w:t>
            </w:r>
          </w:p>
        </w:tc>
        <w:tc>
          <w:tcPr>
            <w:tcW w:w="3264" w:type="dxa"/>
          </w:tcPr>
          <w:p w14:paraId="6512A12A" w14:textId="77777777" w:rsidR="00113BB2" w:rsidRDefault="00000000">
            <w:pPr>
              <w:spacing w:after="40"/>
            </w:pPr>
            <w:r>
              <w:rPr>
                <w:sz w:val="19"/>
                <w:highlight w:val="yellow"/>
              </w:rPr>
              <w:t>[PLACEHOLDER: weight]</w:t>
            </w:r>
            <w:r>
              <w:rPr>
                <w:sz w:val="19"/>
              </w:rPr>
              <w:t>%</w:t>
            </w:r>
          </w:p>
        </w:tc>
        <w:tc>
          <w:tcPr>
            <w:tcW w:w="3264" w:type="dxa"/>
          </w:tcPr>
          <w:p w14:paraId="16BDC098" w14:textId="77777777" w:rsidR="00113BB2" w:rsidRDefault="00000000">
            <w:pPr>
              <w:spacing w:after="40"/>
            </w:pPr>
            <w:r>
              <w:rPr>
                <w:sz w:val="19"/>
              </w:rPr>
              <w:t>Realism and speed of the proposed timeline.</w:t>
            </w:r>
          </w:p>
        </w:tc>
      </w:tr>
      <w:tr w:rsidR="00113BB2" w14:paraId="4E8AA104" w14:textId="77777777">
        <w:tc>
          <w:tcPr>
            <w:tcW w:w="3264" w:type="dxa"/>
          </w:tcPr>
          <w:p w14:paraId="70FEA100" w14:textId="77777777" w:rsidR="00113BB2" w:rsidRDefault="00000000">
            <w:pPr>
              <w:spacing w:after="40"/>
            </w:pPr>
            <w:r>
              <w:rPr>
                <w:sz w:val="19"/>
              </w:rPr>
              <w:t>Cost</w:t>
            </w:r>
          </w:p>
        </w:tc>
        <w:tc>
          <w:tcPr>
            <w:tcW w:w="3264" w:type="dxa"/>
          </w:tcPr>
          <w:p w14:paraId="7373709D" w14:textId="77777777" w:rsidR="00113BB2" w:rsidRDefault="00000000">
            <w:pPr>
              <w:spacing w:after="40"/>
            </w:pPr>
            <w:r>
              <w:rPr>
                <w:sz w:val="19"/>
                <w:highlight w:val="yellow"/>
              </w:rPr>
              <w:t>[PLACEHOLDER: weight]</w:t>
            </w:r>
            <w:r>
              <w:rPr>
                <w:sz w:val="19"/>
              </w:rPr>
              <w:t>%</w:t>
            </w:r>
          </w:p>
        </w:tc>
        <w:tc>
          <w:tcPr>
            <w:tcW w:w="3264" w:type="dxa"/>
          </w:tcPr>
          <w:p w14:paraId="2EB41B5E" w14:textId="77777777" w:rsidR="00113BB2" w:rsidRDefault="00000000">
            <w:pPr>
              <w:spacing w:after="40"/>
            </w:pPr>
            <w:r>
              <w:rPr>
                <w:sz w:val="19"/>
              </w:rPr>
              <w:t>Total price and value for the defined scope.</w:t>
            </w:r>
          </w:p>
        </w:tc>
      </w:tr>
      <w:tr w:rsidR="00113BB2" w14:paraId="4D4182A6" w14:textId="77777777">
        <w:tc>
          <w:tcPr>
            <w:tcW w:w="3264" w:type="dxa"/>
          </w:tcPr>
          <w:p w14:paraId="374FF550" w14:textId="77777777" w:rsidR="00113BB2" w:rsidRDefault="00000000">
            <w:pPr>
              <w:spacing w:after="40"/>
            </w:pPr>
            <w:r>
              <w:rPr>
                <w:sz w:val="19"/>
              </w:rPr>
              <w:t>Team</w:t>
            </w:r>
          </w:p>
        </w:tc>
        <w:tc>
          <w:tcPr>
            <w:tcW w:w="3264" w:type="dxa"/>
          </w:tcPr>
          <w:p w14:paraId="1182D642" w14:textId="77777777" w:rsidR="00113BB2" w:rsidRDefault="00000000">
            <w:pPr>
              <w:spacing w:after="40"/>
            </w:pPr>
            <w:r>
              <w:rPr>
                <w:sz w:val="19"/>
                <w:highlight w:val="yellow"/>
              </w:rPr>
              <w:t>[PLACEHOLDER: weight]</w:t>
            </w:r>
            <w:r>
              <w:rPr>
                <w:sz w:val="19"/>
              </w:rPr>
              <w:t>%</w:t>
            </w:r>
          </w:p>
        </w:tc>
        <w:tc>
          <w:tcPr>
            <w:tcW w:w="3264" w:type="dxa"/>
          </w:tcPr>
          <w:p w14:paraId="63624D6F" w14:textId="77777777" w:rsidR="00113BB2" w:rsidRDefault="00000000">
            <w:pPr>
              <w:spacing w:after="40"/>
            </w:pPr>
            <w:r>
              <w:rPr>
                <w:sz w:val="19"/>
              </w:rPr>
              <w:t>Strength and availability of the named team.</w:t>
            </w:r>
          </w:p>
        </w:tc>
      </w:tr>
    </w:tbl>
    <w:p w14:paraId="653E06A6" w14:textId="77777777" w:rsidR="00113BB2" w:rsidRDefault="00113BB2">
      <w:pPr>
        <w:spacing w:after="40"/>
      </w:pPr>
    </w:p>
    <w:p w14:paraId="1792012C" w14:textId="77777777" w:rsidR="00113BB2" w:rsidRDefault="00000000">
      <w:pPr>
        <w:pStyle w:val="Heading3"/>
      </w:pPr>
      <w:r>
        <w:t>6.3 Process and timeline</w:t>
      </w:r>
    </w:p>
    <w:p w14:paraId="5743B9EB" w14:textId="77777777" w:rsidR="00113BB2" w:rsidRDefault="00000000">
      <w:r>
        <w:t xml:space="preserve">Q&amp;A window, intent to bid, shortlist interviews, award, and kickoff: each </w:t>
      </w:r>
      <w:r>
        <w:rPr>
          <w:highlight w:val="yellow"/>
        </w:rPr>
        <w:t>[PLACEHOLDER: date]</w:t>
      </w:r>
      <w:r>
        <w:t>. Issue date, response deadline and proposal due date are on the cover. Charm may request clarifications from any bidder at any stage, may award this work in part, to more than one bidder, or not at all. Submitting a proposal does not obligate Charm to award any contract.</w:t>
      </w:r>
    </w:p>
    <w:p w14:paraId="5C404A68" w14:textId="77777777" w:rsidR="00113BB2" w:rsidRDefault="00000000">
      <w:pPr>
        <w:pStyle w:val="Heading3"/>
      </w:pPr>
      <w:r>
        <w:t>6.4 Terms</w:t>
      </w:r>
    </w:p>
    <w:p w14:paraId="2973500C" w14:textId="77777777" w:rsidR="00113BB2" w:rsidRDefault="00000000">
      <w:pPr>
        <w:pStyle w:val="ListBullet"/>
      </w:pPr>
      <w:r>
        <w:rPr>
          <w:b/>
        </w:rPr>
        <w:t>Confidentiality.</w:t>
      </w:r>
      <w:r>
        <w:t xml:space="preserve"> Bidders must execute an NDA before Charm releases underlying technical materials: models, data, and prior correspondence with standards bodies and buyers.</w:t>
      </w:r>
    </w:p>
    <w:p w14:paraId="47D2B526" w14:textId="77777777" w:rsidR="00113BB2" w:rsidRDefault="00000000">
      <w:pPr>
        <w:pStyle w:val="ListBullet"/>
      </w:pPr>
      <w:r>
        <w:rPr>
          <w:b/>
        </w:rPr>
        <w:t>IP ownership.</w:t>
      </w:r>
      <w:r>
        <w:t xml:space="preserve"> Charm will own the resulting methodology. The developer will be attributed as its author in the methodology document and in related public or buyer-facing materials.</w:t>
      </w:r>
    </w:p>
    <w:p w14:paraId="797C5602" w14:textId="77777777" w:rsidR="00113BB2" w:rsidRDefault="00000000">
      <w:pPr>
        <w:pStyle w:val="ListBullet"/>
      </w:pPr>
      <w:r>
        <w:rPr>
          <w:b/>
        </w:rPr>
        <w:t>Publication rights.</w:t>
      </w:r>
      <w:r>
        <w:t xml:space="preserve"> Charm retains the right to publish, or to direct publication of, the finished methodology.</w:t>
      </w:r>
    </w:p>
    <w:p w14:paraId="31FC7773" w14:textId="77777777" w:rsidR="00113BB2" w:rsidRDefault="00000000">
      <w:pPr>
        <w:pStyle w:val="ListBullet"/>
      </w:pPr>
      <w:r>
        <w:rPr>
          <w:b/>
        </w:rPr>
        <w:t>Sharing rights.</w:t>
      </w:r>
      <w:r>
        <w:t xml:space="preserve"> Charm retains the right to share the methodology and supporting materials with 123 Carbon, verifiers, and buyers (including Amazon) as needed to register and use the credit.</w:t>
      </w:r>
    </w:p>
    <w:p w14:paraId="3D7F3FD5" w14:textId="77777777" w:rsidR="00113BB2" w:rsidRDefault="00000000">
      <w:pPr>
        <w:pStyle w:val="Heading2"/>
      </w:pPr>
      <w:r>
        <w:lastRenderedPageBreak/>
        <w:t>7. Materials Provided Under NDA</w:t>
      </w:r>
    </w:p>
    <w:p w14:paraId="55C0AC0A" w14:textId="77777777" w:rsidR="00113BB2" w:rsidRDefault="00000000">
      <w:pPr>
        <w:pStyle w:val="ListBullet"/>
      </w:pPr>
      <w:r>
        <w:t>Charm PDD v1.12 and the protocols and modules it names: Bio Oil Geological Storage; Biochar Production and Storage; GHG Accounting Module; Biochar Storage in Agricultural Soils; Biomass Feedstock Accounting Module; Transportation Emissions Accounting module; Energy Use Accounting module; Salt Cavern Storage module; the Isometric Standard.</w:t>
      </w:r>
    </w:p>
    <w:p w14:paraId="5B94D76B" w14:textId="77777777" w:rsidR="00113BB2" w:rsidRDefault="00000000">
      <w:pPr>
        <w:pStyle w:val="ListBullet"/>
      </w:pPr>
      <w:r>
        <w:t>SAF Methodology Normative References deck, and the SAF/FCC process-flow and methodology diagram.</w:t>
      </w:r>
    </w:p>
    <w:p w14:paraId="78191143" w14:textId="77777777" w:rsidR="00113BB2" w:rsidRDefault="00000000">
      <w:pPr>
        <w:pStyle w:val="ListBullet"/>
      </w:pPr>
      <w:r>
        <w:t>Bolt-On LCA Model Template (Excel), its Methodology Overview (Word), and its External Source Verification companion sheet.</w:t>
      </w:r>
    </w:p>
    <w:p w14:paraId="74B83F08" w14:textId="77777777" w:rsidR="00113BB2" w:rsidRDefault="00000000">
      <w:pPr>
        <w:pStyle w:val="ListBullet"/>
      </w:pPr>
      <w:r>
        <w:t>Charm Standard Emission Factors sheet.</w:t>
      </w:r>
    </w:p>
    <w:p w14:paraId="5B57144F" w14:textId="77777777" w:rsidR="00113BB2" w:rsidRDefault="00000000">
      <w:pPr>
        <w:pStyle w:val="ListBullet"/>
      </w:pPr>
      <w:r>
        <w:t>RSB Areas of Concern memo, and RSB Global Certification Project Plan v2.0 with its named open items.</w:t>
      </w:r>
    </w:p>
    <w:p w14:paraId="36B30506" w14:textId="77777777" w:rsidR="00113BB2" w:rsidRDefault="00000000">
      <w:pPr>
        <w:pStyle w:val="ListBullet"/>
      </w:pPr>
      <w:r>
        <w:t>123 Carbon questions memo, and notes on the 123 Carbon non-certified pathway and Amazon carbon-accounting discussions.</w:t>
      </w:r>
    </w:p>
    <w:p w14:paraId="0CD4875B" w14:textId="77777777" w:rsidR="00113BB2" w:rsidRDefault="00000000">
      <w:pPr>
        <w:pStyle w:val="ListBullet"/>
      </w:pPr>
      <w:r>
        <w:t>Sample production-period data package: a monthly production-period summary and its supporting evidence.</w:t>
      </w:r>
    </w:p>
    <w:p w14:paraId="50596F2C" w14:textId="77777777" w:rsidR="00113BB2" w:rsidRDefault="00000000">
      <w:pPr>
        <w:pStyle w:val="ListBullet"/>
      </w:pPr>
      <w:r>
        <w:t>ISO 14064-3:2019 excerpts, and 45Z outside-counsel correspondence.</w:t>
      </w:r>
    </w:p>
    <w:p w14:paraId="120ABEE8" w14:textId="77777777" w:rsidR="00113BB2" w:rsidRDefault="00000000">
      <w:r>
        <w:t>Public standards to work from: RSB-STD-01-010 v2.8; RG-2024-06; RSB-GUI-PG-2025-02; RSB-STD-01-003-01 v3.2; RSB-STD-01-003-02 v2.1; ISCC PLUS 203-1 and 203-2 v1.1; ISCC EU 205 v4.1; SFC-SPEC-001 v01; SFC MBM Framework v1.0 (October 2023); SABA Sustainability Framework V3 and V4 Draft; SABA-Eligible Registries list (March 16, 2026); SAFc Registry Guide (February 2023) and Rulebook (current numbered version to be obtained); Amazon's approach to lower-carbon fuels, Carbon Insets Playbook and SAF case study; ISO 14083; ISO 14064-3:2019.</w:t>
      </w:r>
    </w:p>
    <w:p w14:paraId="414A8E8B" w14:textId="77777777" w:rsidR="00113BB2" w:rsidRDefault="00000000">
      <w:pPr>
        <w:pStyle w:val="Heading2"/>
      </w:pPr>
      <w:r>
        <w:t>Glossary</w:t>
      </w:r>
    </w:p>
    <w:p w14:paraId="644B302D" w14:textId="77777777" w:rsidR="00113BB2" w:rsidRDefault="00000000">
      <w:r>
        <w:rPr>
          <w:b/>
        </w:rPr>
        <w:t>Free allocation / flexible attribution</w:t>
      </w:r>
      <w:r>
        <w:t xml:space="preserve"> — assigning the full biogenic carbon credit from a co-processed feedstock to one output fuel (here, jet), instead of splitting it across every fuel the refinery produces.</w:t>
      </w:r>
    </w:p>
    <w:p w14:paraId="33842BB4" w14:textId="77777777" w:rsidR="00113BB2" w:rsidRDefault="00000000">
      <w:r>
        <w:rPr>
          <w:b/>
        </w:rPr>
        <w:t>Book-and-claim</w:t>
      </w:r>
      <w:r>
        <w:t xml:space="preserve"> — "The physical product and its environmental attributes are decoupled—allowing companies to purchase the attribute (via a credit or certificate) and claim its impact, even if the product does not physically enter their direct supply chain." (Amazon Carbon Insets Playbook Ch.1.)</w:t>
      </w:r>
    </w:p>
    <w:p w14:paraId="708D6DCE" w14:textId="77777777" w:rsidR="00113BB2" w:rsidRDefault="00000000">
      <w:r>
        <w:rPr>
          <w:b/>
        </w:rPr>
        <w:t>Mass balance</w:t>
      </w:r>
      <w:r>
        <w:t xml:space="preserve"> — a chain-of-custody method tracking the quantity of sustainable input against the quantity of output claimed as sustainable, allowing physical mixing as long as the bookkeeping balances. Under RSB-STD-01-010 v2.8 §2.4.3 Note, p.11, "it is not permitted to assign the sustainability characteristic of inputs to specific outputs."</w:t>
      </w:r>
    </w:p>
    <w:p w14:paraId="7CBA7ABB" w14:textId="77777777" w:rsidR="00113BB2" w:rsidRDefault="00000000">
      <w:r>
        <w:rPr>
          <w:b/>
        </w:rPr>
        <w:t>Co-processing</w:t>
      </w:r>
      <w:r>
        <w:t xml:space="preserve"> — running a biogenic feedstock such as bio-oil through the same refinery unit as fossil feedstock at the same time, so the two carbon streams mix inside the unit before separating back out into fuel products.</w:t>
      </w:r>
    </w:p>
    <w:p w14:paraId="190364BA" w14:textId="77777777" w:rsidR="00113BB2" w:rsidRDefault="00000000">
      <w:r>
        <w:rPr>
          <w:b/>
        </w:rPr>
        <w:t>Blend point</w:t>
      </w:r>
      <w:r>
        <w:t xml:space="preserve"> — where finished fuel is physically blended and measured before distribution; the boundary for the fuel's final carbon-intensity calculation, and the limit of flexible attribution.</w:t>
      </w:r>
    </w:p>
    <w:p w14:paraId="323BF2BC" w14:textId="77777777" w:rsidR="00113BB2" w:rsidRDefault="00000000">
      <w:r>
        <w:rPr>
          <w:b/>
        </w:rPr>
        <w:t>Sustainability Profile</w:t>
      </w:r>
      <w:r>
        <w:t xml:space="preserve"> — "The attributes of a Solution related to sustainability requirements, including: origin, life cycle GHG emissions factors, feedstock, production process, volumetric energy density, lower heating value, applicable fuel batch ID data, and/or other certified attributes." (SFC-SPEC-001 v01 §3.25, p.8.)</w:t>
      </w:r>
    </w:p>
    <w:p w14:paraId="40DBF4DB" w14:textId="77777777" w:rsidR="00113BB2" w:rsidRDefault="00000000">
      <w:r>
        <w:rPr>
          <w:b/>
        </w:rPr>
        <w:t>MBM (Market Based Measures)</w:t>
      </w:r>
      <w:r>
        <w:t xml:space="preserve"> — the Smart Freight Centre's book-and-claim and allocation specification for freight transportation emissions, from the title "SFC Voluntary Market Based Measures Framework for Logistics Emissions Accounting and Reporting."</w:t>
      </w:r>
    </w:p>
    <w:p w14:paraId="514D583D" w14:textId="77777777" w:rsidR="00113BB2" w:rsidRDefault="00000000">
      <w:r>
        <w:rPr>
          <w:b/>
        </w:rPr>
        <w:lastRenderedPageBreak/>
        <w:t>Non-certified pathway</w:t>
      </w:r>
      <w:r>
        <w:t xml:space="preserve"> — the SFC track for a Solution whose sustainability profile is not established under an existing certification system. SFC-SPEC-001 v01 §6.1.3, p.11 requires that "the underlying calculations, data sources and production processes shall be disclosed in the Report."</w:t>
      </w:r>
    </w:p>
    <w:p w14:paraId="1F3EFE78" w14:textId="77777777" w:rsidR="00113BB2" w:rsidRDefault="00000000">
      <w:r>
        <w:rPr>
          <w:b/>
        </w:rPr>
        <w:t>SAFc (sustainable aviation fuel certificate)</w:t>
      </w:r>
      <w:r>
        <w:t xml:space="preserve"> — "A unit representing the environmental attributes (in particular, the emissions reduction benefits) of a quantity of sustainable aviation fuel (SAF) is called a SAF certificate (SAFc)." (SAFc Registry Rulebook §3.1, item 1.)</w:t>
      </w:r>
    </w:p>
    <w:p w14:paraId="4EB5010F" w14:textId="77777777" w:rsidR="00113BB2" w:rsidRDefault="00000000">
      <w:r>
        <w:rPr>
          <w:b/>
        </w:rPr>
        <w:t>VVB (validation and verification body)</w:t>
      </w:r>
      <w:r>
        <w:t xml:space="preserve"> — an independent third-party auditor that checks a GHG claim or report against a standard's requirements. SFC-SPEC-001 v01 §12.2, p.17 provides that "the requirements for verification are specified in the VVB Manual - MBM Specification".</w:t>
      </w:r>
    </w:p>
    <w:p w14:paraId="10F67086" w14:textId="77777777" w:rsidR="00113BB2" w:rsidRDefault="00000000">
      <w:pPr>
        <w:pStyle w:val="Heading2"/>
      </w:pPr>
      <w:r>
        <w:t>Before circulation</w:t>
      </w:r>
    </w:p>
    <w:p w14:paraId="59477083" w14:textId="77777777" w:rsidR="00113BB2" w:rsidRDefault="00000000">
      <w:r>
        <w:t>Clear every placeholder below, then delete this section.</w:t>
      </w:r>
    </w:p>
    <w:tbl>
      <w:tblPr>
        <w:tblStyle w:val="TableGrid"/>
        <w:tblW w:w="0" w:type="auto"/>
        <w:tblLook w:val="04A0" w:firstRow="1" w:lastRow="0" w:firstColumn="1" w:lastColumn="0" w:noHBand="0" w:noVBand="1"/>
      </w:tblPr>
      <w:tblGrid>
        <w:gridCol w:w="4896"/>
        <w:gridCol w:w="4896"/>
      </w:tblGrid>
      <w:tr w:rsidR="00113BB2" w14:paraId="0301DFB4" w14:textId="77777777">
        <w:tc>
          <w:tcPr>
            <w:tcW w:w="4896" w:type="dxa"/>
          </w:tcPr>
          <w:p w14:paraId="24B43565" w14:textId="77777777" w:rsidR="00113BB2" w:rsidRDefault="00000000">
            <w:pPr>
              <w:spacing w:after="40"/>
            </w:pPr>
            <w:r>
              <w:rPr>
                <w:b/>
                <w:sz w:val="19"/>
              </w:rPr>
              <w:t>Location</w:t>
            </w:r>
          </w:p>
        </w:tc>
        <w:tc>
          <w:tcPr>
            <w:tcW w:w="4896" w:type="dxa"/>
          </w:tcPr>
          <w:p w14:paraId="30713B6F" w14:textId="77777777" w:rsidR="00113BB2" w:rsidRDefault="00000000">
            <w:pPr>
              <w:spacing w:after="40"/>
            </w:pPr>
            <w:r>
              <w:rPr>
                <w:b/>
                <w:sz w:val="19"/>
              </w:rPr>
              <w:t>Placeholder</w:t>
            </w:r>
          </w:p>
        </w:tc>
      </w:tr>
      <w:tr w:rsidR="00113BB2" w14:paraId="37F1CB53" w14:textId="77777777">
        <w:tc>
          <w:tcPr>
            <w:tcW w:w="4896" w:type="dxa"/>
          </w:tcPr>
          <w:p w14:paraId="79EFAFB7" w14:textId="77777777" w:rsidR="00113BB2" w:rsidRDefault="00000000">
            <w:pPr>
              <w:spacing w:after="40"/>
            </w:pPr>
            <w:r>
              <w:rPr>
                <w:sz w:val="19"/>
              </w:rPr>
              <w:t>Cover block</w:t>
            </w:r>
          </w:p>
        </w:tc>
        <w:tc>
          <w:tcPr>
            <w:tcW w:w="4896" w:type="dxa"/>
          </w:tcPr>
          <w:p w14:paraId="7B34E994" w14:textId="77777777" w:rsidR="00113BB2" w:rsidRDefault="00000000">
            <w:pPr>
              <w:spacing w:after="40"/>
            </w:pPr>
            <w:r>
              <w:rPr>
                <w:sz w:val="19"/>
                <w:highlight w:val="yellow"/>
              </w:rPr>
              <w:t>[PLACEHOLDER: issue date]</w:t>
            </w:r>
          </w:p>
        </w:tc>
      </w:tr>
      <w:tr w:rsidR="00113BB2" w14:paraId="7AFE8FA6" w14:textId="77777777">
        <w:tc>
          <w:tcPr>
            <w:tcW w:w="4896" w:type="dxa"/>
          </w:tcPr>
          <w:p w14:paraId="52121308" w14:textId="77777777" w:rsidR="00113BB2" w:rsidRDefault="00000000">
            <w:pPr>
              <w:spacing w:after="40"/>
            </w:pPr>
            <w:r>
              <w:rPr>
                <w:sz w:val="19"/>
              </w:rPr>
              <w:t>Cover block</w:t>
            </w:r>
          </w:p>
        </w:tc>
        <w:tc>
          <w:tcPr>
            <w:tcW w:w="4896" w:type="dxa"/>
          </w:tcPr>
          <w:p w14:paraId="1A70F89E" w14:textId="77777777" w:rsidR="00113BB2" w:rsidRDefault="00000000">
            <w:pPr>
              <w:spacing w:after="40"/>
            </w:pPr>
            <w:r>
              <w:rPr>
                <w:sz w:val="19"/>
                <w:highlight w:val="yellow"/>
              </w:rPr>
              <w:t>[PLACEHOLDER: response deadline]</w:t>
            </w:r>
          </w:p>
        </w:tc>
      </w:tr>
      <w:tr w:rsidR="00113BB2" w14:paraId="16D3D59E" w14:textId="77777777">
        <w:tc>
          <w:tcPr>
            <w:tcW w:w="4896" w:type="dxa"/>
          </w:tcPr>
          <w:p w14:paraId="12D9D3BC" w14:textId="77777777" w:rsidR="00113BB2" w:rsidRDefault="00000000">
            <w:pPr>
              <w:spacing w:after="40"/>
            </w:pPr>
            <w:r>
              <w:rPr>
                <w:sz w:val="19"/>
              </w:rPr>
              <w:t>Cover block</w:t>
            </w:r>
          </w:p>
        </w:tc>
        <w:tc>
          <w:tcPr>
            <w:tcW w:w="4896" w:type="dxa"/>
          </w:tcPr>
          <w:p w14:paraId="499C9383" w14:textId="77777777" w:rsidR="00113BB2" w:rsidRDefault="00000000">
            <w:pPr>
              <w:spacing w:after="40"/>
            </w:pPr>
            <w:r>
              <w:rPr>
                <w:sz w:val="19"/>
                <w:highlight w:val="yellow"/>
              </w:rPr>
              <w:t>[PLACEHOLDER: proposal due date]</w:t>
            </w:r>
          </w:p>
        </w:tc>
      </w:tr>
      <w:tr w:rsidR="00113BB2" w14:paraId="65E70513" w14:textId="77777777">
        <w:tc>
          <w:tcPr>
            <w:tcW w:w="4896" w:type="dxa"/>
          </w:tcPr>
          <w:p w14:paraId="57B6DDBF" w14:textId="77777777" w:rsidR="00113BB2" w:rsidRDefault="00000000">
            <w:pPr>
              <w:spacing w:after="40"/>
            </w:pPr>
            <w:r>
              <w:rPr>
                <w:sz w:val="19"/>
              </w:rPr>
              <w:t>Cover block</w:t>
            </w:r>
          </w:p>
        </w:tc>
        <w:tc>
          <w:tcPr>
            <w:tcW w:w="4896" w:type="dxa"/>
          </w:tcPr>
          <w:p w14:paraId="1D65CFF1" w14:textId="77777777" w:rsidR="00113BB2" w:rsidRDefault="00000000">
            <w:pPr>
              <w:spacing w:after="40"/>
            </w:pPr>
            <w:r>
              <w:rPr>
                <w:sz w:val="19"/>
                <w:highlight w:val="yellow"/>
              </w:rPr>
              <w:t>[PLACEHOLDER: project budget range]</w:t>
            </w:r>
          </w:p>
        </w:tc>
      </w:tr>
      <w:tr w:rsidR="00113BB2" w14:paraId="22C72A94" w14:textId="77777777">
        <w:tc>
          <w:tcPr>
            <w:tcW w:w="4896" w:type="dxa"/>
          </w:tcPr>
          <w:p w14:paraId="6ABA9067" w14:textId="77777777" w:rsidR="00113BB2" w:rsidRDefault="00000000">
            <w:pPr>
              <w:spacing w:after="40"/>
            </w:pPr>
            <w:r>
              <w:rPr>
                <w:sz w:val="19"/>
              </w:rPr>
              <w:t>Cover block</w:t>
            </w:r>
          </w:p>
        </w:tc>
        <w:tc>
          <w:tcPr>
            <w:tcW w:w="4896" w:type="dxa"/>
          </w:tcPr>
          <w:p w14:paraId="1242ABD8" w14:textId="77777777" w:rsidR="00113BB2" w:rsidRDefault="00000000">
            <w:pPr>
              <w:spacing w:after="40"/>
            </w:pPr>
            <w:r>
              <w:rPr>
                <w:sz w:val="19"/>
                <w:highlight w:val="yellow"/>
              </w:rPr>
              <w:t>[PLACEHOLDER: recipient list]</w:t>
            </w:r>
          </w:p>
        </w:tc>
      </w:tr>
      <w:tr w:rsidR="00113BB2" w14:paraId="396D9F18" w14:textId="77777777">
        <w:tc>
          <w:tcPr>
            <w:tcW w:w="4896" w:type="dxa"/>
          </w:tcPr>
          <w:p w14:paraId="4DB93094" w14:textId="77777777" w:rsidR="00113BB2" w:rsidRDefault="00000000">
            <w:pPr>
              <w:spacing w:after="40"/>
            </w:pPr>
            <w:r>
              <w:rPr>
                <w:sz w:val="19"/>
              </w:rPr>
              <w:t>Cover block</w:t>
            </w:r>
          </w:p>
        </w:tc>
        <w:tc>
          <w:tcPr>
            <w:tcW w:w="4896" w:type="dxa"/>
          </w:tcPr>
          <w:p w14:paraId="54897C2D" w14:textId="77777777" w:rsidR="00113BB2" w:rsidRDefault="00000000">
            <w:pPr>
              <w:spacing w:after="40"/>
            </w:pPr>
            <w:r>
              <w:rPr>
                <w:sz w:val="19"/>
                <w:highlight w:val="yellow"/>
              </w:rPr>
              <w:t>[PLACEHOLDER: contact name, email]</w:t>
            </w:r>
          </w:p>
        </w:tc>
      </w:tr>
      <w:tr w:rsidR="00113BB2" w14:paraId="50E1A2C0" w14:textId="77777777">
        <w:tc>
          <w:tcPr>
            <w:tcW w:w="4896" w:type="dxa"/>
          </w:tcPr>
          <w:p w14:paraId="3D7D1FE7" w14:textId="77777777" w:rsidR="00113BB2" w:rsidRDefault="00000000">
            <w:pPr>
              <w:spacing w:after="40"/>
            </w:pPr>
            <w:r>
              <w:rPr>
                <w:sz w:val="19"/>
              </w:rPr>
              <w:t>Summary and §6.3</w:t>
            </w:r>
          </w:p>
        </w:tc>
        <w:tc>
          <w:tcPr>
            <w:tcW w:w="4896" w:type="dxa"/>
          </w:tcPr>
          <w:p w14:paraId="043DC600" w14:textId="77777777" w:rsidR="00113BB2" w:rsidRDefault="00000000">
            <w:pPr>
              <w:spacing w:after="40"/>
            </w:pPr>
            <w:r>
              <w:rPr>
                <w:sz w:val="19"/>
                <w:highlight w:val="yellow"/>
              </w:rPr>
              <w:t>[PLACEHOLDER: date]</w:t>
            </w:r>
            <w:r>
              <w:rPr>
                <w:sz w:val="19"/>
              </w:rPr>
              <w:t xml:space="preserve"> — five process milestones</w:t>
            </w:r>
          </w:p>
        </w:tc>
      </w:tr>
      <w:tr w:rsidR="00113BB2" w14:paraId="385C066E" w14:textId="77777777">
        <w:tc>
          <w:tcPr>
            <w:tcW w:w="4896" w:type="dxa"/>
          </w:tcPr>
          <w:p w14:paraId="7B2D74CA" w14:textId="77777777" w:rsidR="00113BB2" w:rsidRDefault="00000000">
            <w:pPr>
              <w:spacing w:after="40"/>
            </w:pPr>
            <w:r>
              <w:rPr>
                <w:sz w:val="19"/>
              </w:rPr>
              <w:t>§1</w:t>
            </w:r>
          </w:p>
        </w:tc>
        <w:tc>
          <w:tcPr>
            <w:tcW w:w="4896" w:type="dxa"/>
          </w:tcPr>
          <w:p w14:paraId="19E66FCF" w14:textId="77777777" w:rsidR="00113BB2" w:rsidRDefault="00000000">
            <w:pPr>
              <w:spacing w:after="40"/>
            </w:pPr>
            <w:r>
              <w:rPr>
                <w:sz w:val="19"/>
                <w:highlight w:val="yellow"/>
              </w:rPr>
              <w:t>[PLACEHOLDER: Charm's targeted blend-rate range and effective date, once confirmed.]</w:t>
            </w:r>
          </w:p>
        </w:tc>
      </w:tr>
      <w:tr w:rsidR="00113BB2" w14:paraId="2DD1AFC9" w14:textId="77777777">
        <w:tc>
          <w:tcPr>
            <w:tcW w:w="4896" w:type="dxa"/>
          </w:tcPr>
          <w:p w14:paraId="3D6F8693" w14:textId="77777777" w:rsidR="00113BB2" w:rsidRDefault="00000000">
            <w:pPr>
              <w:spacing w:after="40"/>
            </w:pPr>
            <w:r>
              <w:rPr>
                <w:sz w:val="19"/>
              </w:rPr>
              <w:t>§3</w:t>
            </w:r>
          </w:p>
        </w:tc>
        <w:tc>
          <w:tcPr>
            <w:tcW w:w="4896" w:type="dxa"/>
          </w:tcPr>
          <w:p w14:paraId="7A8A7C5B" w14:textId="77777777" w:rsidR="00113BB2" w:rsidRDefault="00000000">
            <w:pPr>
              <w:spacing w:after="40"/>
            </w:pPr>
            <w:r>
              <w:rPr>
                <w:sz w:val="19"/>
                <w:highlight w:val="yellow"/>
              </w:rPr>
              <w:t>[PLACEHOLDER: refinery partner not yet finalized.]</w:t>
            </w:r>
          </w:p>
        </w:tc>
      </w:tr>
      <w:tr w:rsidR="00113BB2" w14:paraId="3B813154" w14:textId="77777777">
        <w:tc>
          <w:tcPr>
            <w:tcW w:w="4896" w:type="dxa"/>
          </w:tcPr>
          <w:p w14:paraId="60518E1B" w14:textId="77777777" w:rsidR="00113BB2" w:rsidRDefault="00000000">
            <w:pPr>
              <w:spacing w:after="40"/>
            </w:pPr>
            <w:r>
              <w:rPr>
                <w:sz w:val="19"/>
              </w:rPr>
              <w:t>§3</w:t>
            </w:r>
          </w:p>
        </w:tc>
        <w:tc>
          <w:tcPr>
            <w:tcW w:w="4896" w:type="dxa"/>
          </w:tcPr>
          <w:p w14:paraId="33C584B7" w14:textId="77777777" w:rsidR="00113BB2" w:rsidRDefault="00000000">
            <w:pPr>
              <w:spacing w:after="40"/>
            </w:pPr>
            <w:r>
              <w:rPr>
                <w:sz w:val="19"/>
                <w:highlight w:val="yellow"/>
              </w:rPr>
              <w:t>[PLACEHOLDER: Project Plan Part 8 risk register to be supplied in full.]</w:t>
            </w:r>
          </w:p>
        </w:tc>
      </w:tr>
      <w:tr w:rsidR="00113BB2" w14:paraId="5313D6DE" w14:textId="77777777">
        <w:tc>
          <w:tcPr>
            <w:tcW w:w="4896" w:type="dxa"/>
          </w:tcPr>
          <w:p w14:paraId="664E3CFA" w14:textId="77777777" w:rsidR="00113BB2" w:rsidRDefault="00000000">
            <w:pPr>
              <w:spacing w:after="40"/>
            </w:pPr>
            <w:r>
              <w:rPr>
                <w:sz w:val="19"/>
              </w:rPr>
              <w:t>§3</w:t>
            </w:r>
          </w:p>
        </w:tc>
        <w:tc>
          <w:tcPr>
            <w:tcW w:w="4896" w:type="dxa"/>
          </w:tcPr>
          <w:p w14:paraId="62863E60" w14:textId="77777777" w:rsidR="00113BB2" w:rsidRDefault="00000000">
            <w:pPr>
              <w:spacing w:after="40"/>
            </w:pPr>
            <w:r>
              <w:rPr>
                <w:sz w:val="19"/>
                <w:highlight w:val="yellow"/>
              </w:rPr>
              <w:t>[PLACEHOLDER: 123 Carbon certificate template and data-point overview requested, not yet received.]</w:t>
            </w:r>
          </w:p>
        </w:tc>
      </w:tr>
      <w:tr w:rsidR="00113BB2" w14:paraId="6DB447B7" w14:textId="77777777">
        <w:tc>
          <w:tcPr>
            <w:tcW w:w="4896" w:type="dxa"/>
          </w:tcPr>
          <w:p w14:paraId="3B26F55D" w14:textId="77777777" w:rsidR="00113BB2" w:rsidRDefault="00000000">
            <w:pPr>
              <w:spacing w:after="40"/>
            </w:pPr>
            <w:r>
              <w:rPr>
                <w:sz w:val="19"/>
              </w:rPr>
              <w:t>§3</w:t>
            </w:r>
          </w:p>
        </w:tc>
        <w:tc>
          <w:tcPr>
            <w:tcW w:w="4896" w:type="dxa"/>
          </w:tcPr>
          <w:p w14:paraId="609FCE25" w14:textId="77777777" w:rsidR="00113BB2" w:rsidRDefault="00000000">
            <w:pPr>
              <w:spacing w:after="40"/>
            </w:pPr>
            <w:r>
              <w:rPr>
                <w:sz w:val="19"/>
                <w:highlight w:val="yellow"/>
              </w:rPr>
              <w:t>[PLACEHOLDER: refinery data package is this work package's own deliverable, not a pre-existing source.]</w:t>
            </w:r>
          </w:p>
        </w:tc>
      </w:tr>
      <w:tr w:rsidR="00113BB2" w14:paraId="28D6A5AB" w14:textId="77777777">
        <w:tc>
          <w:tcPr>
            <w:tcW w:w="4896" w:type="dxa"/>
          </w:tcPr>
          <w:p w14:paraId="3830355C" w14:textId="77777777" w:rsidR="00113BB2" w:rsidRDefault="00000000">
            <w:pPr>
              <w:spacing w:after="40"/>
            </w:pPr>
            <w:r>
              <w:rPr>
                <w:sz w:val="19"/>
              </w:rPr>
              <w:t>§3.7</w:t>
            </w:r>
          </w:p>
        </w:tc>
        <w:tc>
          <w:tcPr>
            <w:tcW w:w="4896" w:type="dxa"/>
          </w:tcPr>
          <w:p w14:paraId="2C7BEA42" w14:textId="77777777" w:rsidR="00113BB2" w:rsidRDefault="00000000">
            <w:pPr>
              <w:spacing w:after="40"/>
            </w:pPr>
            <w:r>
              <w:rPr>
                <w:sz w:val="19"/>
                <w:highlight w:val="yellow"/>
              </w:rPr>
              <w:t>[PLACEHOLDER: 45Z legal memo in progress.]</w:t>
            </w:r>
          </w:p>
        </w:tc>
      </w:tr>
      <w:tr w:rsidR="00113BB2" w14:paraId="4E73EBEB" w14:textId="77777777">
        <w:tc>
          <w:tcPr>
            <w:tcW w:w="4896" w:type="dxa"/>
          </w:tcPr>
          <w:p w14:paraId="4D9E53BB" w14:textId="77777777" w:rsidR="00113BB2" w:rsidRDefault="00000000">
            <w:pPr>
              <w:spacing w:after="40"/>
            </w:pPr>
            <w:r>
              <w:rPr>
                <w:sz w:val="19"/>
              </w:rPr>
              <w:t>§3.7</w:t>
            </w:r>
          </w:p>
        </w:tc>
        <w:tc>
          <w:tcPr>
            <w:tcW w:w="4896" w:type="dxa"/>
          </w:tcPr>
          <w:p w14:paraId="4DFF1921" w14:textId="77777777" w:rsidR="00113BB2" w:rsidRDefault="00000000">
            <w:pPr>
              <w:spacing w:after="40"/>
            </w:pPr>
            <w:r>
              <w:rPr>
                <w:sz w:val="19"/>
                <w:highlight w:val="yellow"/>
              </w:rPr>
              <w:t>[PLACEHOLDER: refinery economic model under third-party NDA; developer access to be negotiated separately.]</w:t>
            </w:r>
          </w:p>
        </w:tc>
      </w:tr>
      <w:tr w:rsidR="00113BB2" w14:paraId="0CF09DC1" w14:textId="77777777">
        <w:tc>
          <w:tcPr>
            <w:tcW w:w="4896" w:type="dxa"/>
          </w:tcPr>
          <w:p w14:paraId="502E638C" w14:textId="77777777" w:rsidR="00113BB2" w:rsidRDefault="00000000">
            <w:pPr>
              <w:spacing w:after="40"/>
            </w:pPr>
            <w:r>
              <w:rPr>
                <w:sz w:val="19"/>
              </w:rPr>
              <w:t>§3.8</w:t>
            </w:r>
          </w:p>
        </w:tc>
        <w:tc>
          <w:tcPr>
            <w:tcW w:w="4896" w:type="dxa"/>
          </w:tcPr>
          <w:p w14:paraId="1EADCF26" w14:textId="77777777" w:rsidR="00113BB2" w:rsidRDefault="00000000">
            <w:pPr>
              <w:spacing w:after="40"/>
            </w:pPr>
            <w:r>
              <w:rPr>
                <w:sz w:val="19"/>
                <w:highlight w:val="yellow"/>
              </w:rPr>
              <w:t>[PLACEHOLDER: confirm no newer numbered version of the SAFc Registry Rulebook supersedes the copy provided.]</w:t>
            </w:r>
          </w:p>
        </w:tc>
      </w:tr>
      <w:tr w:rsidR="00113BB2" w14:paraId="61F353CE" w14:textId="77777777">
        <w:tc>
          <w:tcPr>
            <w:tcW w:w="4896" w:type="dxa"/>
          </w:tcPr>
          <w:p w14:paraId="05E0AA64" w14:textId="77777777" w:rsidR="00113BB2" w:rsidRDefault="00000000">
            <w:pPr>
              <w:spacing w:after="40"/>
            </w:pPr>
            <w:r>
              <w:rPr>
                <w:sz w:val="19"/>
              </w:rPr>
              <w:t>§3</w:t>
            </w:r>
          </w:p>
        </w:tc>
        <w:tc>
          <w:tcPr>
            <w:tcW w:w="4896" w:type="dxa"/>
          </w:tcPr>
          <w:p w14:paraId="16F5776D" w14:textId="77777777" w:rsidR="00113BB2" w:rsidRDefault="00000000">
            <w:pPr>
              <w:spacing w:after="40"/>
            </w:pPr>
            <w:r>
              <w:rPr>
                <w:sz w:val="19"/>
                <w:highlight w:val="yellow"/>
              </w:rPr>
              <w:t>[PLACEHOLDER: Amazon's forthcoming fuel criteria document — confirm publication status before this work package starts.]</w:t>
            </w:r>
          </w:p>
        </w:tc>
      </w:tr>
      <w:tr w:rsidR="00113BB2" w14:paraId="015F328E" w14:textId="77777777">
        <w:tc>
          <w:tcPr>
            <w:tcW w:w="4896" w:type="dxa"/>
          </w:tcPr>
          <w:p w14:paraId="4EE3036A" w14:textId="77777777" w:rsidR="00113BB2" w:rsidRDefault="00000000">
            <w:pPr>
              <w:spacing w:after="40"/>
            </w:pPr>
            <w:r>
              <w:rPr>
                <w:sz w:val="19"/>
              </w:rPr>
              <w:t>§6.1</w:t>
            </w:r>
          </w:p>
        </w:tc>
        <w:tc>
          <w:tcPr>
            <w:tcW w:w="4896" w:type="dxa"/>
          </w:tcPr>
          <w:p w14:paraId="7606E3D4" w14:textId="77777777" w:rsidR="00113BB2" w:rsidRDefault="00000000">
            <w:pPr>
              <w:spacing w:after="40"/>
            </w:pPr>
            <w:r>
              <w:rPr>
                <w:sz w:val="19"/>
                <w:highlight w:val="yellow"/>
              </w:rPr>
              <w:t>[PLACEHOLDER: budget range]</w:t>
            </w:r>
          </w:p>
        </w:tc>
      </w:tr>
      <w:tr w:rsidR="00113BB2" w14:paraId="5CC8CA00" w14:textId="77777777">
        <w:tc>
          <w:tcPr>
            <w:tcW w:w="4896" w:type="dxa"/>
          </w:tcPr>
          <w:p w14:paraId="3C2332B3" w14:textId="77777777" w:rsidR="00113BB2" w:rsidRDefault="00000000">
            <w:pPr>
              <w:spacing w:after="40"/>
            </w:pPr>
            <w:r>
              <w:rPr>
                <w:sz w:val="19"/>
              </w:rPr>
              <w:t>§6.2</w:t>
            </w:r>
          </w:p>
        </w:tc>
        <w:tc>
          <w:tcPr>
            <w:tcW w:w="4896" w:type="dxa"/>
          </w:tcPr>
          <w:p w14:paraId="2D5CD0F3" w14:textId="77777777" w:rsidR="00113BB2" w:rsidRDefault="00000000">
            <w:pPr>
              <w:spacing w:after="40"/>
            </w:pPr>
            <w:r>
              <w:rPr>
                <w:sz w:val="19"/>
                <w:highlight w:val="yellow"/>
              </w:rPr>
              <w:t>[PLACEHOLDER: weight]</w:t>
            </w:r>
            <w:r>
              <w:rPr>
                <w:sz w:val="19"/>
              </w:rPr>
              <w:t>% — seven evaluation criteria</w:t>
            </w:r>
          </w:p>
        </w:tc>
      </w:tr>
    </w:tbl>
    <w:p w14:paraId="1DFA4608" w14:textId="77777777" w:rsidR="00113BB2" w:rsidRDefault="00113BB2">
      <w:pPr>
        <w:spacing w:after="40"/>
      </w:pPr>
    </w:p>
    <w:sectPr w:rsidR="00113BB2"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D56635C"/>
    <w:multiLevelType w:val="hybridMultilevel"/>
    <w:tmpl w:val="CC545E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5118141">
    <w:abstractNumId w:val="8"/>
  </w:num>
  <w:num w:numId="2" w16cid:durableId="790903303">
    <w:abstractNumId w:val="6"/>
  </w:num>
  <w:num w:numId="3" w16cid:durableId="1685403656">
    <w:abstractNumId w:val="5"/>
  </w:num>
  <w:num w:numId="4" w16cid:durableId="540675940">
    <w:abstractNumId w:val="4"/>
  </w:num>
  <w:num w:numId="5" w16cid:durableId="911355735">
    <w:abstractNumId w:val="7"/>
  </w:num>
  <w:num w:numId="6" w16cid:durableId="1515800978">
    <w:abstractNumId w:val="3"/>
  </w:num>
  <w:num w:numId="7" w16cid:durableId="1775440771">
    <w:abstractNumId w:val="2"/>
  </w:num>
  <w:num w:numId="8" w16cid:durableId="158929558">
    <w:abstractNumId w:val="1"/>
  </w:num>
  <w:num w:numId="9" w16cid:durableId="844247534">
    <w:abstractNumId w:val="0"/>
  </w:num>
  <w:num w:numId="10" w16cid:durableId="1823933235">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3BB2"/>
    <w:rsid w:val="0015074B"/>
    <w:rsid w:val="001E4FD5"/>
    <w:rsid w:val="00291357"/>
    <w:rsid w:val="0029639D"/>
    <w:rsid w:val="00326F90"/>
    <w:rsid w:val="00551F85"/>
    <w:rsid w:val="0057518A"/>
    <w:rsid w:val="00741642"/>
    <w:rsid w:val="007756FA"/>
    <w:rsid w:val="007D381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9AA540"/>
  <w14:defaultImageDpi w14:val="300"/>
  <w15:docId w15:val="{4AC100B5-A07A-1543-8E2D-CE260FA03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57518A"/>
    <w:rPr>
      <w:sz w:val="16"/>
      <w:szCs w:val="16"/>
    </w:rPr>
  </w:style>
  <w:style w:type="paragraph" w:styleId="CommentText">
    <w:name w:val="annotation text"/>
    <w:basedOn w:val="Normal"/>
    <w:link w:val="CommentTextChar"/>
    <w:uiPriority w:val="99"/>
    <w:semiHidden/>
    <w:unhideWhenUsed/>
    <w:rsid w:val="0057518A"/>
    <w:pPr>
      <w:spacing w:line="240" w:lineRule="auto"/>
    </w:pPr>
    <w:rPr>
      <w:sz w:val="20"/>
      <w:szCs w:val="20"/>
    </w:rPr>
  </w:style>
  <w:style w:type="character" w:customStyle="1" w:styleId="CommentTextChar">
    <w:name w:val="Comment Text Char"/>
    <w:basedOn w:val="DefaultParagraphFont"/>
    <w:link w:val="CommentText"/>
    <w:uiPriority w:val="99"/>
    <w:semiHidden/>
    <w:rsid w:val="0057518A"/>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57518A"/>
    <w:rPr>
      <w:b/>
      <w:bCs/>
    </w:rPr>
  </w:style>
  <w:style w:type="character" w:customStyle="1" w:styleId="CommentSubjectChar">
    <w:name w:val="Comment Subject Char"/>
    <w:basedOn w:val="CommentTextChar"/>
    <w:link w:val="CommentSubject"/>
    <w:uiPriority w:val="99"/>
    <w:semiHidden/>
    <w:rsid w:val="0057518A"/>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10</Pages>
  <Words>4936</Words>
  <Characters>28137</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33007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Max Bernard Lavine</cp:lastModifiedBy>
  <cp:revision>4</cp:revision>
  <dcterms:created xsi:type="dcterms:W3CDTF">2013-12-23T23:15:00Z</dcterms:created>
  <dcterms:modified xsi:type="dcterms:W3CDTF">2026-09-17T21:52:00Z</dcterms:modified>
  <cp:category/>
</cp:coreProperties>
</file>