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6"/>
        </w:rPr>
        <w:t>Bio-oil CI Sensitivity to Emission Sources</w:t>
      </w:r>
    </w:p>
    <w:p>
      <w:pPr>
        <w:spacing w:after="40"/>
      </w:pPr>
      <w:r>
        <w:rPr>
          <w:b w:val="0"/>
          <w:i w:val="0"/>
          <w:sz w:val="22"/>
        </w:rPr>
        <w:t>Aggregated across 19 closed production periods: PP1–PP8 and August 2025–June 2026</w:t>
      </w:r>
    </w:p>
    <w:p>
      <w:pPr>
        <w:spacing w:after="160"/>
      </w:pPr>
      <w:r>
        <w:rPr>
          <w:b w:val="0"/>
          <w:i/>
          <w:sz w:val="18"/>
        </w:rPr>
        <w:t>Source: Production Period Close Summaries (Drive folder “PP Close Summaries”). Prepared 2026-09-25.</w:t>
      </w:r>
    </w:p>
    <w:p>
      <w:pPr>
        <w:pStyle w:val="Heading1"/>
        <w:spacing w:before="240" w:after="80"/>
      </w:pPr>
      <w:r>
        <w:rPr>
          <w:rFonts w:ascii="Calibri" w:hAnsi="Calibri"/>
          <w:color w:val="1F3A5F"/>
          <w:sz w:val="28"/>
        </w:rPr>
        <w:t>Summary</w:t>
      </w:r>
    </w:p>
    <w:p>
      <w:pPr>
        <w:pStyle w:val="ListBullet"/>
        <w:spacing w:after="60"/>
      </w:pPr>
      <w:r>
        <w:rPr>
          <w:b/>
        </w:rPr>
        <w:t xml:space="preserve">Propane dominates. </w:t>
      </w:r>
      <w:r>
        <w:rPr>
          <w:b w:val="0"/>
        </w:rPr>
        <w:t>It is 61.0% of pooled emissions; an 8% change in propane moves bio-oil CI by 5%. No other source moves CI 5% with a change under 30%.</w:t>
      </w:r>
    </w:p>
    <w:p>
      <w:pPr>
        <w:pStyle w:val="ListBullet"/>
        <w:spacing w:after="60"/>
      </w:pPr>
      <w:r>
        <w:rPr>
          <w:b/>
        </w:rPr>
        <w:t xml:space="preserve">Embodied emissions are second tier. </w:t>
      </w:r>
      <w:r>
        <w:rPr>
          <w:b w:val="0"/>
        </w:rPr>
        <w:t>Capital goods (15.8%) needs a 32% change and spare parts &amp; consumables (8.6%) a 58% change to move CI by 5%.</w:t>
      </w:r>
    </w:p>
    <w:p>
      <w:pPr>
        <w:pStyle w:val="ListBullet"/>
        <w:spacing w:after="60"/>
      </w:pPr>
      <w:r>
        <w:rPr>
          <w:b/>
        </w:rPr>
        <w:t xml:space="preserve">The remaining eight sources cannot plausibly move CI by 5% on their own. </w:t>
      </w:r>
      <w:r>
        <w:rPr>
          <w:b w:val="0"/>
        </w:rPr>
        <w:t>After offsets, electricity and biomass transport would need to change by 84% and 110%. Gasoline, waste disposal, tailgas, consumables delivery and water would need changes of 243% to 3,769%. Diesel enters the CI at zero.</w:t>
      </w:r>
    </w:p>
    <w:p>
      <w:pPr>
        <w:pStyle w:val="ListBullet"/>
        <w:spacing w:after="60"/>
      </w:pPr>
      <w:r>
        <w:rPr>
          <w:b/>
        </w:rPr>
        <w:t xml:space="preserve">Offset coverage matters most for diesel and electricity. </w:t>
      </w:r>
      <w:r>
        <w:rPr>
          <w:b w:val="0"/>
        </w:rPr>
        <w:t>BCUs cover 100% of diesel emissions (287.4 of 287.4 t) and RECs cover 93% of electricity emissions (396.9 of 427.1 t). Losing coverage on 8.9% of diesel emissions or 6.4% of electricity emissions would move CI by 5% (Table 2).</w:t>
      </w:r>
    </w:p>
    <w:p>
      <w:pPr>
        <w:pStyle w:val="Heading1"/>
        <w:spacing w:before="240" w:after="80"/>
      </w:pPr>
      <w:r>
        <w:rPr>
          <w:rFonts w:ascii="Calibri" w:hAnsi="Calibri"/>
          <w:color w:val="1F3A5F"/>
          <w:sz w:val="28"/>
        </w:rPr>
        <w:t>1. Ranking, share of emissions, and change needed for a 5% CI move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576"/>
            <w:shd w:val="clear" w:color="auto" w:fill="D6E4F0"/>
          </w:tcPr>
          <w:p>
            <w:pPr>
              <w:keepNext/>
            </w:pPr>
            <w:r/>
            <w:r>
              <w:rPr>
                <w:b/>
                <w:sz w:val="19"/>
              </w:rPr>
              <w:t>Rank</w:t>
            </w:r>
          </w:p>
        </w:tc>
        <w:tc>
          <w:tcPr>
            <w:tcW w:type="dxa" w:w="2664"/>
            <w:shd w:val="clear" w:color="auto" w:fill="D6E4F0"/>
          </w:tcPr>
          <w:p>
            <w:pPr>
              <w:keepNext/>
            </w:pPr>
            <w:r/>
            <w:r>
              <w:rPr>
                <w:b/>
                <w:sz w:val="19"/>
              </w:rPr>
              <w:t>Emission source</w:t>
            </w:r>
          </w:p>
        </w:tc>
        <w:tc>
          <w:tcPr>
            <w:tcW w:type="dxa" w:w="1368"/>
            <w:shd w:val="clear" w:color="auto" w:fill="D6E4F0"/>
          </w:tcPr>
          <w:p>
            <w:pPr>
              <w:keepNext/>
            </w:pPr>
            <w:r/>
            <w:r>
              <w:rPr>
                <w:b/>
                <w:sz w:val="19"/>
              </w:rPr>
              <w:t>Pooled emissions in CI (t CO2e)</w:t>
            </w:r>
          </w:p>
        </w:tc>
        <w:tc>
          <w:tcPr>
            <w:tcW w:type="dxa" w:w="1008"/>
            <w:shd w:val="clear" w:color="auto" w:fill="D6E4F0"/>
          </w:tcPr>
          <w:p>
            <w:pPr>
              <w:keepNext/>
            </w:pPr>
            <w:r/>
            <w:r>
              <w:rPr>
                <w:b/>
                <w:sz w:val="19"/>
              </w:rPr>
              <w:t>% of total</w:t>
            </w:r>
          </w:p>
        </w:tc>
        <w:tc>
          <w:tcPr>
            <w:tcW w:type="dxa" w:w="1440"/>
            <w:shd w:val="clear" w:color="auto" w:fill="D6E4F0"/>
          </w:tcPr>
          <w:p>
            <w:pPr>
              <w:keepNext/>
            </w:pPr>
            <w:r/>
            <w:r>
              <w:rPr>
                <w:b/>
                <w:sz w:val="19"/>
              </w:rPr>
              <w:t>Range of % across the 19 periods</w:t>
            </w:r>
          </w:p>
        </w:tc>
        <w:tc>
          <w:tcPr>
            <w:tcW w:type="dxa" w:w="1584"/>
            <w:shd w:val="clear" w:color="auto" w:fill="D6E4F0"/>
          </w:tcPr>
          <w:p>
            <w:pPr>
              <w:keepNext/>
            </w:pPr>
            <w:r/>
            <w:r>
              <w:rPr>
                <w:b/>
                <w:sz w:val="19"/>
              </w:rPr>
              <w:t>Change in source needed to move CI 5%</w:t>
            </w:r>
          </w:p>
        </w:tc>
        <w:tc>
          <w:tcPr>
            <w:tcW w:type="dxa" w:w="1440"/>
            <w:shd w:val="clear" w:color="auto" w:fill="D6E4F0"/>
          </w:tcPr>
          <w:p>
            <w:pPr>
              <w:keepNext/>
            </w:pPr>
            <w:r/>
            <w:r>
              <w:rPr>
                <w:b/>
                <w:sz w:val="19"/>
              </w:rPr>
              <w:t>CI change if source rises 20% (PDD test)</w:t>
            </w:r>
          </w:p>
        </w:tc>
      </w:tr>
      <w:tr>
        <w:tc>
          <w:tcPr>
            <w:tcW w:type="dxa" w:w="576"/>
          </w:tcPr>
          <w:p>
            <w:pPr>
              <w:keepNext/>
            </w:pPr>
            <w:r/>
            <w:r>
              <w:rPr>
                <w:sz w:val="19"/>
              </w:rPr>
              <w:t>1</w:t>
            </w:r>
          </w:p>
        </w:tc>
        <w:tc>
          <w:tcPr>
            <w:tcW w:type="dxa" w:w="2664"/>
          </w:tcPr>
          <w:p>
            <w:pPr>
              <w:keepNext/>
            </w:pPr>
            <w:r/>
            <w:r>
              <w:rPr>
                <w:sz w:val="19"/>
              </w:rPr>
              <w:t>Propane</w:t>
            </w:r>
          </w:p>
        </w:tc>
        <w:tc>
          <w:tcPr>
            <w:tcW w:type="dxa" w:w="1368"/>
          </w:tcPr>
          <w:p>
            <w:pPr>
              <w:keepNext/>
              <w:jc w:val="right"/>
            </w:pPr>
            <w:r/>
            <w:r>
              <w:rPr>
                <w:sz w:val="19"/>
              </w:rPr>
              <w:t>311.4</w:t>
            </w:r>
          </w:p>
        </w:tc>
        <w:tc>
          <w:tcPr>
            <w:tcW w:type="dxa" w:w="1008"/>
          </w:tcPr>
          <w:p>
            <w:pPr>
              <w:keepNext/>
              <w:jc w:val="right"/>
            </w:pPr>
            <w:r/>
            <w:r>
              <w:rPr>
                <w:sz w:val="19"/>
              </w:rPr>
              <w:t>61.0%</w:t>
            </w:r>
          </w:p>
        </w:tc>
        <w:tc>
          <w:tcPr>
            <w:tcW w:type="dxa" w:w="1440"/>
          </w:tcPr>
          <w:p>
            <w:pPr>
              <w:keepNext/>
              <w:jc w:val="right"/>
            </w:pPr>
            <w:r/>
            <w:r>
              <w:rPr>
                <w:sz w:val="19"/>
              </w:rPr>
              <w:t>33.7–70.5%</w:t>
            </w:r>
          </w:p>
        </w:tc>
        <w:tc>
          <w:tcPr>
            <w:tcW w:type="dxa" w:w="1584"/>
          </w:tcPr>
          <w:p>
            <w:pPr>
              <w:keepNext/>
              <w:jc w:val="right"/>
            </w:pPr>
            <w:r/>
            <w:r>
              <w:rPr>
                <w:sz w:val="19"/>
              </w:rPr>
              <w:t>8%</w:t>
            </w:r>
          </w:p>
        </w:tc>
        <w:tc>
          <w:tcPr>
            <w:tcW w:type="dxa" w:w="1440"/>
          </w:tcPr>
          <w:p>
            <w:pPr>
              <w:keepNext/>
              <w:jc w:val="right"/>
            </w:pPr>
            <w:r/>
            <w:r>
              <w:rPr>
                <w:sz w:val="19"/>
              </w:rPr>
              <w:t>12.2%</w:t>
            </w:r>
          </w:p>
        </w:tc>
      </w:tr>
      <w:tr>
        <w:tc>
          <w:tcPr>
            <w:tcW w:type="dxa" w:w="576"/>
          </w:tcPr>
          <w:p>
            <w:pPr>
              <w:keepNext/>
            </w:pPr>
            <w:r/>
            <w:r>
              <w:rPr>
                <w:sz w:val="19"/>
              </w:rPr>
              <w:t>2</w:t>
            </w:r>
          </w:p>
        </w:tc>
        <w:tc>
          <w:tcPr>
            <w:tcW w:type="dxa" w:w="2664"/>
          </w:tcPr>
          <w:p>
            <w:pPr>
              <w:keepNext/>
            </w:pPr>
            <w:r/>
            <w:r>
              <w:rPr>
                <w:sz w:val="19"/>
              </w:rPr>
              <w:t>Capital goods (embodied)</w:t>
            </w:r>
          </w:p>
        </w:tc>
        <w:tc>
          <w:tcPr>
            <w:tcW w:type="dxa" w:w="1368"/>
          </w:tcPr>
          <w:p>
            <w:pPr>
              <w:keepNext/>
              <w:jc w:val="right"/>
            </w:pPr>
            <w:r/>
            <w:r>
              <w:rPr>
                <w:sz w:val="19"/>
              </w:rPr>
              <w:t>80.7</w:t>
            </w:r>
          </w:p>
        </w:tc>
        <w:tc>
          <w:tcPr>
            <w:tcW w:type="dxa" w:w="1008"/>
          </w:tcPr>
          <w:p>
            <w:pPr>
              <w:keepNext/>
              <w:jc w:val="right"/>
            </w:pPr>
            <w:r/>
            <w:r>
              <w:rPr>
                <w:sz w:val="19"/>
              </w:rPr>
              <w:t>15.8%</w:t>
            </w:r>
          </w:p>
        </w:tc>
        <w:tc>
          <w:tcPr>
            <w:tcW w:type="dxa" w:w="1440"/>
          </w:tcPr>
          <w:p>
            <w:pPr>
              <w:keepNext/>
              <w:jc w:val="right"/>
            </w:pPr>
            <w:r/>
            <w:r>
              <w:rPr>
                <w:sz w:val="19"/>
              </w:rPr>
              <w:t>7.3–20.0%</w:t>
            </w:r>
          </w:p>
        </w:tc>
        <w:tc>
          <w:tcPr>
            <w:tcW w:type="dxa" w:w="1584"/>
          </w:tcPr>
          <w:p>
            <w:pPr>
              <w:keepNext/>
              <w:jc w:val="right"/>
            </w:pPr>
            <w:r/>
            <w:r>
              <w:rPr>
                <w:sz w:val="19"/>
              </w:rPr>
              <w:t>32%</w:t>
            </w:r>
          </w:p>
        </w:tc>
        <w:tc>
          <w:tcPr>
            <w:tcW w:type="dxa" w:w="1440"/>
          </w:tcPr>
          <w:p>
            <w:pPr>
              <w:keepNext/>
              <w:jc w:val="right"/>
            </w:pPr>
            <w:r/>
            <w:r>
              <w:rPr>
                <w:sz w:val="19"/>
              </w:rPr>
              <w:t>3.2%</w:t>
            </w:r>
          </w:p>
        </w:tc>
      </w:tr>
      <w:tr>
        <w:tc>
          <w:tcPr>
            <w:tcW w:type="dxa" w:w="576"/>
          </w:tcPr>
          <w:p>
            <w:pPr>
              <w:keepNext/>
            </w:pPr>
            <w:r/>
            <w:r>
              <w:rPr>
                <w:sz w:val="19"/>
              </w:rPr>
              <w:t>3</w:t>
            </w:r>
          </w:p>
        </w:tc>
        <w:tc>
          <w:tcPr>
            <w:tcW w:type="dxa" w:w="2664"/>
          </w:tcPr>
          <w:p>
            <w:pPr>
              <w:keepNext/>
            </w:pPr>
            <w:r/>
            <w:r>
              <w:rPr>
                <w:sz w:val="19"/>
              </w:rPr>
              <w:t>Spare parts &amp; consumables (embodied)</w:t>
            </w:r>
          </w:p>
        </w:tc>
        <w:tc>
          <w:tcPr>
            <w:tcW w:type="dxa" w:w="1368"/>
          </w:tcPr>
          <w:p>
            <w:pPr>
              <w:keepNext/>
              <w:jc w:val="right"/>
            </w:pPr>
            <w:r/>
            <w:r>
              <w:rPr>
                <w:sz w:val="19"/>
              </w:rPr>
              <w:t>43.8</w:t>
            </w:r>
          </w:p>
        </w:tc>
        <w:tc>
          <w:tcPr>
            <w:tcW w:type="dxa" w:w="1008"/>
          </w:tcPr>
          <w:p>
            <w:pPr>
              <w:keepNext/>
              <w:jc w:val="right"/>
            </w:pPr>
            <w:r/>
            <w:r>
              <w:rPr>
                <w:sz w:val="19"/>
              </w:rPr>
              <w:t>8.6%</w:t>
            </w:r>
          </w:p>
        </w:tc>
        <w:tc>
          <w:tcPr>
            <w:tcW w:type="dxa" w:w="1440"/>
          </w:tcPr>
          <w:p>
            <w:pPr>
              <w:keepNext/>
              <w:jc w:val="right"/>
            </w:pPr>
            <w:r/>
            <w:r>
              <w:rPr>
                <w:sz w:val="19"/>
              </w:rPr>
              <w:t>4.9–21.6%</w:t>
            </w:r>
          </w:p>
        </w:tc>
        <w:tc>
          <w:tcPr>
            <w:tcW w:type="dxa" w:w="1584"/>
          </w:tcPr>
          <w:p>
            <w:pPr>
              <w:keepNext/>
              <w:jc w:val="right"/>
            </w:pPr>
            <w:r/>
            <w:r>
              <w:rPr>
                <w:sz w:val="19"/>
              </w:rPr>
              <w:t>58%</w:t>
            </w:r>
          </w:p>
        </w:tc>
        <w:tc>
          <w:tcPr>
            <w:tcW w:type="dxa" w:w="1440"/>
          </w:tcPr>
          <w:p>
            <w:pPr>
              <w:keepNext/>
              <w:jc w:val="right"/>
            </w:pPr>
            <w:r/>
            <w:r>
              <w:rPr>
                <w:sz w:val="19"/>
              </w:rPr>
              <w:t>1.7%</w:t>
            </w:r>
          </w:p>
        </w:tc>
      </w:tr>
      <w:tr>
        <w:tc>
          <w:tcPr>
            <w:tcW w:type="dxa" w:w="576"/>
          </w:tcPr>
          <w:p>
            <w:pPr>
              <w:keepNext/>
            </w:pPr>
            <w:r/>
            <w:r>
              <w:rPr>
                <w:sz w:val="19"/>
              </w:rPr>
              <w:t>4</w:t>
            </w:r>
          </w:p>
        </w:tc>
        <w:tc>
          <w:tcPr>
            <w:tcW w:type="dxa" w:w="2664"/>
          </w:tcPr>
          <w:p>
            <w:pPr>
              <w:keepNext/>
            </w:pPr>
            <w:r/>
            <w:r>
              <w:rPr>
                <w:sz w:val="19"/>
              </w:rPr>
              <w:t>Electricity</w:t>
            </w:r>
          </w:p>
        </w:tc>
        <w:tc>
          <w:tcPr>
            <w:tcW w:type="dxa" w:w="1368"/>
          </w:tcPr>
          <w:p>
            <w:pPr>
              <w:keepNext/>
              <w:jc w:val="right"/>
            </w:pPr>
            <w:r/>
            <w:r>
              <w:rPr>
                <w:sz w:val="19"/>
              </w:rPr>
              <w:t>30.2</w:t>
            </w:r>
          </w:p>
        </w:tc>
        <w:tc>
          <w:tcPr>
            <w:tcW w:type="dxa" w:w="1008"/>
          </w:tcPr>
          <w:p>
            <w:pPr>
              <w:keepNext/>
              <w:jc w:val="right"/>
            </w:pPr>
            <w:r/>
            <w:r>
              <w:rPr>
                <w:sz w:val="19"/>
              </w:rPr>
              <w:t>5.9%</w:t>
            </w:r>
          </w:p>
        </w:tc>
        <w:tc>
          <w:tcPr>
            <w:tcW w:type="dxa" w:w="1440"/>
          </w:tcPr>
          <w:p>
            <w:pPr>
              <w:keepNext/>
              <w:jc w:val="right"/>
            </w:pPr>
            <w:r/>
            <w:r>
              <w:rPr>
                <w:sz w:val="19"/>
              </w:rPr>
              <w:t>4.3–11.1%</w:t>
            </w:r>
          </w:p>
        </w:tc>
        <w:tc>
          <w:tcPr>
            <w:tcW w:type="dxa" w:w="1584"/>
          </w:tcPr>
          <w:p>
            <w:pPr>
              <w:keepNext/>
              <w:jc w:val="right"/>
            </w:pPr>
            <w:r/>
            <w:r>
              <w:rPr>
                <w:sz w:val="19"/>
              </w:rPr>
              <w:t>84%</w:t>
            </w:r>
          </w:p>
        </w:tc>
        <w:tc>
          <w:tcPr>
            <w:tcW w:type="dxa" w:w="1440"/>
          </w:tcPr>
          <w:p>
            <w:pPr>
              <w:keepNext/>
              <w:jc w:val="right"/>
            </w:pPr>
            <w:r/>
            <w:r>
              <w:rPr>
                <w:sz w:val="19"/>
              </w:rPr>
              <w:t>1.2%</w:t>
            </w:r>
          </w:p>
        </w:tc>
      </w:tr>
      <w:tr>
        <w:tc>
          <w:tcPr>
            <w:tcW w:type="dxa" w:w="576"/>
          </w:tcPr>
          <w:p>
            <w:pPr>
              <w:keepNext/>
            </w:pPr>
            <w:r/>
            <w:r>
              <w:rPr>
                <w:sz w:val="19"/>
              </w:rPr>
              <w:t>5</w:t>
            </w:r>
          </w:p>
        </w:tc>
        <w:tc>
          <w:tcPr>
            <w:tcW w:type="dxa" w:w="2664"/>
          </w:tcPr>
          <w:p>
            <w:pPr>
              <w:keepNext/>
            </w:pPr>
            <w:r/>
            <w:r>
              <w:rPr>
                <w:sz w:val="19"/>
              </w:rPr>
              <w:t>Biomass transport</w:t>
            </w:r>
          </w:p>
        </w:tc>
        <w:tc>
          <w:tcPr>
            <w:tcW w:type="dxa" w:w="1368"/>
          </w:tcPr>
          <w:p>
            <w:pPr>
              <w:keepNext/>
              <w:jc w:val="right"/>
            </w:pPr>
            <w:r/>
            <w:r>
              <w:rPr>
                <w:sz w:val="19"/>
              </w:rPr>
              <w:t>23.1</w:t>
            </w:r>
          </w:p>
        </w:tc>
        <w:tc>
          <w:tcPr>
            <w:tcW w:type="dxa" w:w="1008"/>
          </w:tcPr>
          <w:p>
            <w:pPr>
              <w:keepNext/>
              <w:jc w:val="right"/>
            </w:pPr>
            <w:r/>
            <w:r>
              <w:rPr>
                <w:sz w:val="19"/>
              </w:rPr>
              <w:t>4.5%</w:t>
            </w:r>
          </w:p>
        </w:tc>
        <w:tc>
          <w:tcPr>
            <w:tcW w:type="dxa" w:w="1440"/>
          </w:tcPr>
          <w:p>
            <w:pPr>
              <w:keepNext/>
              <w:jc w:val="right"/>
            </w:pPr>
            <w:r/>
            <w:r>
              <w:rPr>
                <w:sz w:val="19"/>
              </w:rPr>
              <w:t>0.0–13.4%</w:t>
            </w:r>
          </w:p>
        </w:tc>
        <w:tc>
          <w:tcPr>
            <w:tcW w:type="dxa" w:w="1584"/>
          </w:tcPr>
          <w:p>
            <w:pPr>
              <w:keepNext/>
              <w:jc w:val="right"/>
            </w:pPr>
            <w:r/>
            <w:r>
              <w:rPr>
                <w:sz w:val="19"/>
              </w:rPr>
              <w:t>110%</w:t>
            </w:r>
          </w:p>
        </w:tc>
        <w:tc>
          <w:tcPr>
            <w:tcW w:type="dxa" w:w="1440"/>
          </w:tcPr>
          <w:p>
            <w:pPr>
              <w:keepNext/>
              <w:jc w:val="right"/>
            </w:pPr>
            <w:r/>
            <w:r>
              <w:rPr>
                <w:sz w:val="19"/>
              </w:rPr>
              <w:t>0.9%</w:t>
            </w:r>
          </w:p>
        </w:tc>
      </w:tr>
      <w:tr>
        <w:tc>
          <w:tcPr>
            <w:tcW w:type="dxa" w:w="576"/>
          </w:tcPr>
          <w:p>
            <w:pPr>
              <w:keepNext/>
            </w:pPr>
            <w:r/>
            <w:r>
              <w:rPr>
                <w:sz w:val="19"/>
              </w:rPr>
              <w:t>6</w:t>
            </w:r>
          </w:p>
        </w:tc>
        <w:tc>
          <w:tcPr>
            <w:tcW w:type="dxa" w:w="2664"/>
          </w:tcPr>
          <w:p>
            <w:pPr>
              <w:keepNext/>
            </w:pPr>
            <w:r/>
            <w:r>
              <w:rPr>
                <w:sz w:val="19"/>
              </w:rPr>
              <w:t>Gasoline</w:t>
            </w:r>
          </w:p>
        </w:tc>
        <w:tc>
          <w:tcPr>
            <w:tcW w:type="dxa" w:w="1368"/>
          </w:tcPr>
          <w:p>
            <w:pPr>
              <w:keepNext/>
              <w:jc w:val="right"/>
            </w:pPr>
            <w:r/>
            <w:r>
              <w:rPr>
                <w:sz w:val="19"/>
              </w:rPr>
              <w:t>10.5</w:t>
            </w:r>
          </w:p>
        </w:tc>
        <w:tc>
          <w:tcPr>
            <w:tcW w:type="dxa" w:w="1008"/>
          </w:tcPr>
          <w:p>
            <w:pPr>
              <w:keepNext/>
              <w:jc w:val="right"/>
            </w:pPr>
            <w:r/>
            <w:r>
              <w:rPr>
                <w:sz w:val="19"/>
              </w:rPr>
              <w:t>2.1%</w:t>
            </w:r>
          </w:p>
        </w:tc>
        <w:tc>
          <w:tcPr>
            <w:tcW w:type="dxa" w:w="1440"/>
          </w:tcPr>
          <w:p>
            <w:pPr>
              <w:keepNext/>
              <w:jc w:val="right"/>
            </w:pPr>
            <w:r/>
            <w:r>
              <w:rPr>
                <w:sz w:val="19"/>
              </w:rPr>
              <w:t>0.0–6.2%</w:t>
            </w:r>
          </w:p>
        </w:tc>
        <w:tc>
          <w:tcPr>
            <w:tcW w:type="dxa" w:w="1584"/>
          </w:tcPr>
          <w:p>
            <w:pPr>
              <w:keepNext/>
              <w:jc w:val="right"/>
            </w:pPr>
            <w:r/>
            <w:r>
              <w:rPr>
                <w:sz w:val="19"/>
              </w:rPr>
              <w:t>243%</w:t>
            </w:r>
          </w:p>
        </w:tc>
        <w:tc>
          <w:tcPr>
            <w:tcW w:type="dxa" w:w="1440"/>
          </w:tcPr>
          <w:p>
            <w:pPr>
              <w:keepNext/>
              <w:jc w:val="right"/>
            </w:pPr>
            <w:r/>
            <w:r>
              <w:rPr>
                <w:sz w:val="19"/>
              </w:rPr>
              <w:t>0.4%</w:t>
            </w:r>
          </w:p>
        </w:tc>
      </w:tr>
      <w:tr>
        <w:tc>
          <w:tcPr>
            <w:tcW w:type="dxa" w:w="576"/>
          </w:tcPr>
          <w:p>
            <w:pPr>
              <w:keepNext/>
            </w:pPr>
            <w:r/>
            <w:r>
              <w:rPr>
                <w:sz w:val="19"/>
              </w:rPr>
              <w:t>7</w:t>
            </w:r>
          </w:p>
        </w:tc>
        <w:tc>
          <w:tcPr>
            <w:tcW w:type="dxa" w:w="2664"/>
          </w:tcPr>
          <w:p>
            <w:pPr>
              <w:keepNext/>
            </w:pPr>
            <w:r/>
            <w:r>
              <w:rPr>
                <w:sz w:val="19"/>
              </w:rPr>
              <w:t>Waste disposal</w:t>
            </w:r>
          </w:p>
        </w:tc>
        <w:tc>
          <w:tcPr>
            <w:tcW w:type="dxa" w:w="1368"/>
          </w:tcPr>
          <w:p>
            <w:pPr>
              <w:keepNext/>
              <w:jc w:val="right"/>
            </w:pPr>
            <w:r/>
            <w:r>
              <w:rPr>
                <w:sz w:val="19"/>
              </w:rPr>
              <w:t>5.8</w:t>
            </w:r>
          </w:p>
        </w:tc>
        <w:tc>
          <w:tcPr>
            <w:tcW w:type="dxa" w:w="1008"/>
          </w:tcPr>
          <w:p>
            <w:pPr>
              <w:keepNext/>
              <w:jc w:val="right"/>
            </w:pPr>
            <w:r/>
            <w:r>
              <w:rPr>
                <w:sz w:val="19"/>
              </w:rPr>
              <w:t>1.1%</w:t>
            </w:r>
          </w:p>
        </w:tc>
        <w:tc>
          <w:tcPr>
            <w:tcW w:type="dxa" w:w="1440"/>
          </w:tcPr>
          <w:p>
            <w:pPr>
              <w:keepNext/>
              <w:jc w:val="right"/>
            </w:pPr>
            <w:r/>
            <w:r>
              <w:rPr>
                <w:sz w:val="19"/>
              </w:rPr>
              <w:t>0.0–5.5%</w:t>
            </w:r>
          </w:p>
        </w:tc>
        <w:tc>
          <w:tcPr>
            <w:tcW w:type="dxa" w:w="1584"/>
          </w:tcPr>
          <w:p>
            <w:pPr>
              <w:keepNext/>
              <w:jc w:val="right"/>
            </w:pPr>
            <w:r/>
            <w:r>
              <w:rPr>
                <w:sz w:val="19"/>
              </w:rPr>
              <w:t>442%</w:t>
            </w:r>
          </w:p>
        </w:tc>
        <w:tc>
          <w:tcPr>
            <w:tcW w:type="dxa" w:w="1440"/>
          </w:tcPr>
          <w:p>
            <w:pPr>
              <w:keepNext/>
              <w:jc w:val="right"/>
            </w:pPr>
            <w:r/>
            <w:r>
              <w:rPr>
                <w:sz w:val="19"/>
              </w:rPr>
              <w:t>0.2%</w:t>
            </w:r>
          </w:p>
        </w:tc>
      </w:tr>
      <w:tr>
        <w:tc>
          <w:tcPr>
            <w:tcW w:type="dxa" w:w="576"/>
          </w:tcPr>
          <w:p>
            <w:pPr>
              <w:keepNext/>
            </w:pPr>
            <w:r/>
            <w:r>
              <w:rPr>
                <w:sz w:val="19"/>
              </w:rPr>
              <w:t>8</w:t>
            </w:r>
          </w:p>
        </w:tc>
        <w:tc>
          <w:tcPr>
            <w:tcW w:type="dxa" w:w="2664"/>
          </w:tcPr>
          <w:p>
            <w:pPr>
              <w:keepNext/>
            </w:pPr>
            <w:r/>
            <w:r>
              <w:rPr>
                <w:sz w:val="19"/>
              </w:rPr>
              <w:t>Tailgas</w:t>
            </w:r>
          </w:p>
        </w:tc>
        <w:tc>
          <w:tcPr>
            <w:tcW w:type="dxa" w:w="1368"/>
          </w:tcPr>
          <w:p>
            <w:pPr>
              <w:keepNext/>
              <w:jc w:val="right"/>
            </w:pPr>
            <w:r/>
            <w:r>
              <w:rPr>
                <w:sz w:val="19"/>
              </w:rPr>
              <w:t>3.3</w:t>
            </w:r>
          </w:p>
        </w:tc>
        <w:tc>
          <w:tcPr>
            <w:tcW w:type="dxa" w:w="1008"/>
          </w:tcPr>
          <w:p>
            <w:pPr>
              <w:keepNext/>
              <w:jc w:val="right"/>
            </w:pPr>
            <w:r/>
            <w:r>
              <w:rPr>
                <w:sz w:val="19"/>
              </w:rPr>
              <w:t>0.6%</w:t>
            </w:r>
          </w:p>
        </w:tc>
        <w:tc>
          <w:tcPr>
            <w:tcW w:type="dxa" w:w="1440"/>
          </w:tcPr>
          <w:p>
            <w:pPr>
              <w:keepNext/>
              <w:jc w:val="right"/>
            </w:pPr>
            <w:r/>
            <w:r>
              <w:rPr>
                <w:sz w:val="19"/>
              </w:rPr>
              <w:t>0.2–3.8%</w:t>
            </w:r>
          </w:p>
        </w:tc>
        <w:tc>
          <w:tcPr>
            <w:tcW w:type="dxa" w:w="1584"/>
          </w:tcPr>
          <w:p>
            <w:pPr>
              <w:keepNext/>
              <w:jc w:val="right"/>
            </w:pPr>
            <w:r/>
            <w:r>
              <w:rPr>
                <w:sz w:val="19"/>
              </w:rPr>
              <w:t>777%</w:t>
            </w:r>
          </w:p>
        </w:tc>
        <w:tc>
          <w:tcPr>
            <w:tcW w:type="dxa" w:w="1440"/>
          </w:tcPr>
          <w:p>
            <w:pPr>
              <w:keepNext/>
              <w:jc w:val="right"/>
            </w:pPr>
            <w:r/>
            <w:r>
              <w:rPr>
                <w:sz w:val="19"/>
              </w:rPr>
              <w:t>0.1%</w:t>
            </w:r>
          </w:p>
        </w:tc>
      </w:tr>
      <w:tr>
        <w:tc>
          <w:tcPr>
            <w:tcW w:type="dxa" w:w="576"/>
          </w:tcPr>
          <w:p>
            <w:pPr>
              <w:keepNext/>
            </w:pPr>
            <w:r/>
            <w:r>
              <w:rPr>
                <w:sz w:val="19"/>
              </w:rPr>
              <w:t>9</w:t>
            </w:r>
          </w:p>
        </w:tc>
        <w:tc>
          <w:tcPr>
            <w:tcW w:type="dxa" w:w="2664"/>
          </w:tcPr>
          <w:p>
            <w:pPr>
              <w:keepNext/>
            </w:pPr>
            <w:r/>
            <w:r>
              <w:rPr>
                <w:sz w:val="19"/>
              </w:rPr>
              <w:t>Consumables delivery</w:t>
            </w:r>
          </w:p>
        </w:tc>
        <w:tc>
          <w:tcPr>
            <w:tcW w:type="dxa" w:w="1368"/>
          </w:tcPr>
          <w:p>
            <w:pPr>
              <w:keepNext/>
              <w:jc w:val="right"/>
            </w:pPr>
            <w:r/>
            <w:r>
              <w:rPr>
                <w:sz w:val="19"/>
              </w:rPr>
              <w:t>0.8</w:t>
            </w:r>
          </w:p>
        </w:tc>
        <w:tc>
          <w:tcPr>
            <w:tcW w:type="dxa" w:w="1008"/>
          </w:tcPr>
          <w:p>
            <w:pPr>
              <w:keepNext/>
              <w:jc w:val="right"/>
            </w:pPr>
            <w:r/>
            <w:r>
              <w:rPr>
                <w:sz w:val="19"/>
              </w:rPr>
              <w:t>0.2%</w:t>
            </w:r>
          </w:p>
        </w:tc>
        <w:tc>
          <w:tcPr>
            <w:tcW w:type="dxa" w:w="1440"/>
          </w:tcPr>
          <w:p>
            <w:pPr>
              <w:keepNext/>
              <w:jc w:val="right"/>
            </w:pPr>
            <w:r/>
            <w:r>
              <w:rPr>
                <w:sz w:val="19"/>
              </w:rPr>
              <w:t>0.1–0.3%</w:t>
            </w:r>
          </w:p>
        </w:tc>
        <w:tc>
          <w:tcPr>
            <w:tcW w:type="dxa" w:w="1584"/>
          </w:tcPr>
          <w:p>
            <w:pPr>
              <w:keepNext/>
              <w:jc w:val="right"/>
            </w:pPr>
            <w:r/>
            <w:r>
              <w:rPr>
                <w:sz w:val="19"/>
              </w:rPr>
              <w:t>3,091%</w:t>
            </w:r>
          </w:p>
        </w:tc>
        <w:tc>
          <w:tcPr>
            <w:tcW w:type="dxa" w:w="1440"/>
          </w:tcPr>
          <w:p>
            <w:pPr>
              <w:keepNext/>
              <w:jc w:val="right"/>
            </w:pPr>
            <w:r/>
            <w:r>
              <w:rPr>
                <w:sz w:val="19"/>
              </w:rPr>
              <w:t>0.0%</w:t>
            </w:r>
          </w:p>
        </w:tc>
      </w:tr>
      <w:tr>
        <w:tc>
          <w:tcPr>
            <w:tcW w:type="dxa" w:w="576"/>
          </w:tcPr>
          <w:p>
            <w:pPr>
              <w:keepNext/>
            </w:pPr>
            <w:r/>
            <w:r>
              <w:rPr>
                <w:sz w:val="19"/>
              </w:rPr>
              <w:t>10</w:t>
            </w:r>
          </w:p>
        </w:tc>
        <w:tc>
          <w:tcPr>
            <w:tcW w:type="dxa" w:w="2664"/>
          </w:tcPr>
          <w:p>
            <w:pPr>
              <w:keepNext/>
            </w:pPr>
            <w:r/>
            <w:r>
              <w:rPr>
                <w:sz w:val="19"/>
              </w:rPr>
              <w:t>Water</w:t>
            </w:r>
          </w:p>
        </w:tc>
        <w:tc>
          <w:tcPr>
            <w:tcW w:type="dxa" w:w="1368"/>
          </w:tcPr>
          <w:p>
            <w:pPr>
              <w:keepNext/>
              <w:jc w:val="right"/>
            </w:pPr>
            <w:r/>
            <w:r>
              <w:rPr>
                <w:sz w:val="19"/>
              </w:rPr>
              <w:t>0.7</w:t>
            </w:r>
          </w:p>
        </w:tc>
        <w:tc>
          <w:tcPr>
            <w:tcW w:type="dxa" w:w="1008"/>
          </w:tcPr>
          <w:p>
            <w:pPr>
              <w:keepNext/>
              <w:jc w:val="right"/>
            </w:pPr>
            <w:r/>
            <w:r>
              <w:rPr>
                <w:sz w:val="19"/>
              </w:rPr>
              <w:t>0.1%</w:t>
            </w:r>
          </w:p>
        </w:tc>
        <w:tc>
          <w:tcPr>
            <w:tcW w:type="dxa" w:w="1440"/>
          </w:tcPr>
          <w:p>
            <w:pPr>
              <w:keepNext/>
              <w:jc w:val="right"/>
            </w:pPr>
            <w:r/>
            <w:r>
              <w:rPr>
                <w:sz w:val="19"/>
              </w:rPr>
              <w:t>0.0–0.4%</w:t>
            </w:r>
          </w:p>
        </w:tc>
        <w:tc>
          <w:tcPr>
            <w:tcW w:type="dxa" w:w="1584"/>
          </w:tcPr>
          <w:p>
            <w:pPr>
              <w:keepNext/>
              <w:jc w:val="right"/>
            </w:pPr>
            <w:r/>
            <w:r>
              <w:rPr>
                <w:sz w:val="19"/>
              </w:rPr>
              <w:t>3,769%</w:t>
            </w:r>
          </w:p>
        </w:tc>
        <w:tc>
          <w:tcPr>
            <w:tcW w:type="dxa" w:w="1440"/>
          </w:tcPr>
          <w:p>
            <w:pPr>
              <w:keepNext/>
              <w:jc w:val="right"/>
            </w:pPr>
            <w:r/>
            <w:r>
              <w:rPr>
                <w:sz w:val="19"/>
              </w:rPr>
              <w:t>0.0%</w:t>
            </w:r>
          </w:p>
        </w:tc>
      </w:tr>
      <w:tr>
        <w:tc>
          <w:tcPr>
            <w:tcW w:type="dxa" w:w="576"/>
          </w:tcPr>
          <w:p>
            <w:pPr>
              <w:keepNext/>
            </w:pPr>
            <w:r/>
            <w:r>
              <w:rPr>
                <w:sz w:val="19"/>
              </w:rPr>
              <w:t>11</w:t>
            </w:r>
          </w:p>
        </w:tc>
        <w:tc>
          <w:tcPr>
            <w:tcW w:type="dxa" w:w="2664"/>
          </w:tcPr>
          <w:p>
            <w:pPr>
              <w:keepNext/>
            </w:pPr>
            <w:r/>
            <w:r>
              <w:rPr>
                <w:sz w:val="19"/>
              </w:rPr>
              <w:t>Diesel</w:t>
            </w:r>
          </w:p>
        </w:tc>
        <w:tc>
          <w:tcPr>
            <w:tcW w:type="dxa" w:w="1368"/>
          </w:tcPr>
          <w:p>
            <w:pPr>
              <w:keepNext/>
              <w:jc w:val="right"/>
            </w:pPr>
            <w:r/>
            <w:r>
              <w:rPr>
                <w:sz w:val="19"/>
              </w:rPr>
              <w:t>0.0</w:t>
            </w:r>
          </w:p>
        </w:tc>
        <w:tc>
          <w:tcPr>
            <w:tcW w:type="dxa" w:w="1008"/>
          </w:tcPr>
          <w:p>
            <w:pPr>
              <w:keepNext/>
              <w:jc w:val="right"/>
            </w:pPr>
            <w:r/>
            <w:r>
              <w:rPr>
                <w:sz w:val="19"/>
              </w:rPr>
              <w:t>0.0%</w:t>
            </w:r>
          </w:p>
        </w:tc>
        <w:tc>
          <w:tcPr>
            <w:tcW w:type="dxa" w:w="1440"/>
          </w:tcPr>
          <w:p>
            <w:pPr>
              <w:keepNext/>
              <w:jc w:val="right"/>
            </w:pPr>
            <w:r/>
            <w:r>
              <w:rPr>
                <w:sz w:val="19"/>
              </w:rPr>
              <w:t>0.0–0.0%</w:t>
            </w:r>
          </w:p>
        </w:tc>
        <w:tc>
          <w:tcPr>
            <w:tcW w:type="dxa" w:w="1584"/>
          </w:tcPr>
          <w:p>
            <w:pPr>
              <w:keepNext/>
              <w:jc w:val="right"/>
            </w:pPr>
            <w:r/>
            <w:r>
              <w:rPr>
                <w:sz w:val="19"/>
              </w:rPr>
              <w:t>Not applicable (0 in CI)</w:t>
            </w:r>
          </w:p>
        </w:tc>
        <w:tc>
          <w:tcPr>
            <w:tcW w:type="dxa" w:w="1440"/>
          </w:tcPr>
          <w:p>
            <w:pPr>
              <w:keepNext/>
              <w:jc w:val="right"/>
            </w:pPr>
            <w:r/>
            <w:r>
              <w:rPr>
                <w:sz w:val="19"/>
              </w:rPr>
              <w:t>0.0%</w:t>
            </w:r>
          </w:p>
        </w:tc>
      </w:tr>
      <w:tr>
        <w:tc>
          <w:tcPr>
            <w:tcW w:type="dxa" w:w="576"/>
            <w:shd w:val="clear" w:color="auto" w:fill="F2F2F2"/>
          </w:tcPr>
          <w:p>
            <w:r/>
            <w:r>
              <w:rPr>
                <w:b/>
                <w:sz w:val="19"/>
              </w:rPr>
            </w:r>
          </w:p>
        </w:tc>
        <w:tc>
          <w:tcPr>
            <w:tcW w:type="dxa" w:w="2664"/>
            <w:shd w:val="clear" w:color="auto" w:fill="F2F2F2"/>
          </w:tcPr>
          <w:p>
            <w:r/>
            <w:r>
              <w:rPr>
                <w:b/>
                <w:sz w:val="19"/>
              </w:rPr>
              <w:t>Total</w:t>
            </w:r>
          </w:p>
        </w:tc>
        <w:tc>
          <w:tcPr>
            <w:tcW w:type="dxa" w:w="1368"/>
            <w:shd w:val="clear" w:color="auto" w:fill="F2F2F2"/>
          </w:tcPr>
          <w:p>
            <w:pPr>
              <w:jc w:val="right"/>
            </w:pPr>
            <w:r/>
            <w:r>
              <w:rPr>
                <w:b/>
                <w:sz w:val="19"/>
              </w:rPr>
              <w:t>510.3</w:t>
            </w:r>
          </w:p>
        </w:tc>
        <w:tc>
          <w:tcPr>
            <w:tcW w:type="dxa" w:w="1008"/>
            <w:shd w:val="clear" w:color="auto" w:fill="F2F2F2"/>
          </w:tcPr>
          <w:p>
            <w:pPr>
              <w:jc w:val="right"/>
            </w:pPr>
            <w:r/>
            <w:r>
              <w:rPr>
                <w:b/>
                <w:sz w:val="19"/>
              </w:rPr>
              <w:t>100.0%</w:t>
            </w:r>
          </w:p>
        </w:tc>
        <w:tc>
          <w:tcPr>
            <w:tcW w:type="dxa" w:w="1440"/>
            <w:shd w:val="clear" w:color="auto" w:fill="F2F2F2"/>
          </w:tcPr>
          <w:p>
            <w:pPr>
              <w:jc w:val="right"/>
            </w:pPr>
            <w:r/>
            <w:r>
              <w:rPr>
                <w:b/>
                <w:sz w:val="19"/>
              </w:rPr>
            </w:r>
          </w:p>
        </w:tc>
        <w:tc>
          <w:tcPr>
            <w:tcW w:type="dxa" w:w="1584"/>
            <w:shd w:val="clear" w:color="auto" w:fill="F2F2F2"/>
          </w:tcPr>
          <w:p>
            <w:pPr>
              <w:jc w:val="right"/>
            </w:pPr>
            <w:r/>
            <w:r>
              <w:rPr>
                <w:b/>
                <w:sz w:val="19"/>
              </w:rPr>
            </w:r>
          </w:p>
        </w:tc>
        <w:tc>
          <w:tcPr>
            <w:tcW w:type="dxa" w:w="1440"/>
            <w:shd w:val="clear" w:color="auto" w:fill="F2F2F2"/>
          </w:tcPr>
          <w:p>
            <w:pPr>
              <w:jc w:val="right"/>
            </w:pPr>
            <w:r/>
            <w:r>
              <w:rPr>
                <w:b/>
                <w:sz w:val="19"/>
              </w:rPr>
            </w:r>
          </w:p>
        </w:tc>
      </w:tr>
    </w:tbl>
    <w:p>
      <w:pPr>
        <w:spacing w:after="40"/>
      </w:pPr>
      <w:r>
        <w:rPr>
          <w:b w:val="0"/>
          <w:i w:val="0"/>
        </w:rPr>
      </w:r>
    </w:p>
    <w:p>
      <w:pPr>
        <w:keepNext/>
        <w:spacing w:after="40"/>
      </w:pPr>
      <w:r>
        <w:rPr>
          <w:b/>
          <w:i w:val="0"/>
        </w:rPr>
        <w:t>How to read the “change needed” column</w:t>
      </w:r>
    </w:p>
    <w:p>
      <w:pPr>
        <w:spacing w:after="80"/>
      </w:pPr>
      <w:r>
        <w:rPr>
          <w:b w:val="0"/>
          <w:i w:val="0"/>
        </w:rPr>
        <w:t>5% of pooled emissions is 25.5 t CO2e. Change needed = 5% ÷ source’s share of total. Example: propane 61.03% → 5% ÷ 61.03% = 8.2%. A value above 100% means the source would have to more than double. The same percentage applies whether the change comes from the activity quantity (litres, kWh, tonne-miles) or from the emission factor.</w:t>
      </w:r>
    </w:p>
    <w:p>
      <w:pPr>
        <w:keepNext/>
        <w:spacing w:after="40"/>
      </w:pPr>
      <w:r>
        <w:rPr>
          <w:b/>
          <w:i w:val="0"/>
        </w:rPr>
        <w:t>Why one column serves WODO and Aqueous alike</w:t>
      </w:r>
    </w:p>
    <w:p>
      <w:pPr>
        <w:keepNext/>
        <w:spacing w:after="60"/>
      </w:pPr>
      <w:r>
        <w:rPr>
          <w:b w:val="0"/>
          <w:i w:val="0"/>
        </w:rPr>
        <w:t>The Jan–Jun 2026 Blended CI Summary describes its method in cell A1 as “pool-then-allocate (carbon-mass weighted)”. Under that method each product’s share of emissions is fixed by carbon mass, not by the emissions themselves. So a change in any source moves the WODO, Aqueous and biochar CI by the same percentage. Pooled CIs across the 19 periods, for reference. Per the PDD v1.12 change note dated 9/9/25, Aqueous received production emissions only from Production Period 7 (June 2025) on, so the pooled Aqueous figure is illustrative, not a CI Charm applies.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456"/>
            <w:shd w:val="clear" w:color="auto" w:fill="D6E4F0"/>
          </w:tcPr>
          <w:p>
            <w:pPr>
              <w:keepNext/>
            </w:pPr>
            <w:r/>
            <w:r>
              <w:rPr>
                <w:b/>
                <w:sz w:val="19"/>
              </w:rPr>
              <w:t>Product</w:t>
            </w:r>
          </w:p>
        </w:tc>
        <w:tc>
          <w:tcPr>
            <w:tcW w:type="dxa" w:w="2016"/>
            <w:shd w:val="clear" w:color="auto" w:fill="D6E4F0"/>
          </w:tcPr>
          <w:p>
            <w:pPr>
              <w:keepNext/>
            </w:pPr>
            <w:r/>
            <w:r>
              <w:rPr>
                <w:b/>
                <w:sz w:val="19"/>
              </w:rPr>
              <w:t>Pooled mass (kg)</w:t>
            </w:r>
          </w:p>
        </w:tc>
        <w:tc>
          <w:tcPr>
            <w:tcW w:type="dxa" w:w="2160"/>
            <w:shd w:val="clear" w:color="auto" w:fill="D6E4F0"/>
          </w:tcPr>
          <w:p>
            <w:pPr>
              <w:keepNext/>
            </w:pPr>
            <w:r/>
            <w:r>
              <w:rPr>
                <w:b/>
                <w:sz w:val="19"/>
              </w:rPr>
              <w:t>Pooled CI (kg CO2e/kg)</w:t>
            </w:r>
          </w:p>
        </w:tc>
        <w:tc>
          <w:tcPr>
            <w:tcW w:type="dxa" w:w="2160"/>
            <w:shd w:val="clear" w:color="auto" w:fill="D6E4F0"/>
          </w:tcPr>
          <w:p>
            <w:pPr>
              <w:keepNext/>
            </w:pPr>
            <w:r/>
            <w:r>
              <w:rPr>
                <w:b/>
                <w:sz w:val="19"/>
              </w:rPr>
              <w:t>5% of CI (kg CO2e/kg)</w:t>
            </w:r>
          </w:p>
        </w:tc>
      </w:tr>
      <w:tr>
        <w:tc>
          <w:tcPr>
            <w:tcW w:type="dxa" w:w="3456"/>
          </w:tcPr>
          <w:p>
            <w:pPr>
              <w:keepNext/>
            </w:pPr>
            <w:r/>
            <w:r>
              <w:rPr>
                <w:sz w:val="19"/>
              </w:rPr>
              <w:t>WODO (incl. PP1 dry + wet oil)</w:t>
            </w:r>
          </w:p>
        </w:tc>
        <w:tc>
          <w:tcPr>
            <w:tcW w:type="dxa" w:w="2016"/>
          </w:tcPr>
          <w:p>
            <w:pPr>
              <w:keepNext/>
              <w:jc w:val="right"/>
            </w:pPr>
            <w:r/>
            <w:r>
              <w:rPr>
                <w:sz w:val="19"/>
              </w:rPr>
              <w:t>311,758</w:t>
            </w:r>
          </w:p>
        </w:tc>
        <w:tc>
          <w:tcPr>
            <w:tcW w:type="dxa" w:w="2160"/>
          </w:tcPr>
          <w:p>
            <w:pPr>
              <w:keepNext/>
              <w:jc w:val="right"/>
            </w:pPr>
            <w:r/>
            <w:r>
              <w:rPr>
                <w:sz w:val="19"/>
              </w:rPr>
              <w:t>0.7340</w:t>
            </w:r>
          </w:p>
        </w:tc>
        <w:tc>
          <w:tcPr>
            <w:tcW w:type="dxa" w:w="2160"/>
          </w:tcPr>
          <w:p>
            <w:pPr>
              <w:keepNext/>
              <w:jc w:val="right"/>
            </w:pPr>
            <w:r/>
            <w:r>
              <w:rPr>
                <w:sz w:val="19"/>
              </w:rPr>
              <w:t>0.0367</w:t>
            </w:r>
          </w:p>
        </w:tc>
      </w:tr>
      <w:tr>
        <w:tc>
          <w:tcPr>
            <w:tcW w:type="dxa" w:w="3456"/>
          </w:tcPr>
          <w:p>
            <w:r/>
            <w:r>
              <w:rPr>
                <w:sz w:val="19"/>
              </w:rPr>
              <w:t>Aqueous</w:t>
            </w:r>
          </w:p>
        </w:tc>
        <w:tc>
          <w:tcPr>
            <w:tcW w:type="dxa" w:w="2016"/>
          </w:tcPr>
          <w:p>
            <w:pPr>
              <w:jc w:val="right"/>
            </w:pPr>
            <w:r/>
            <w:r>
              <w:rPr>
                <w:sz w:val="19"/>
              </w:rPr>
              <w:t>595,380</w:t>
            </w:r>
          </w:p>
        </w:tc>
        <w:tc>
          <w:tcPr>
            <w:tcW w:type="dxa" w:w="2160"/>
          </w:tcPr>
          <w:p>
            <w:pPr>
              <w:jc w:val="right"/>
            </w:pPr>
            <w:r/>
            <w:r>
              <w:rPr>
                <w:sz w:val="19"/>
              </w:rPr>
              <w:t>0.1248</w:t>
            </w:r>
          </w:p>
        </w:tc>
        <w:tc>
          <w:tcPr>
            <w:tcW w:type="dxa" w:w="2160"/>
          </w:tcPr>
          <w:p>
            <w:pPr>
              <w:jc w:val="right"/>
            </w:pPr>
            <w:r/>
            <w:r>
              <w:rPr>
                <w:sz w:val="19"/>
              </w:rPr>
              <w:t>0.0062</w:t>
            </w:r>
          </w:p>
        </w:tc>
      </w:tr>
    </w:tbl>
    <w:p>
      <w:pPr>
        <w:pStyle w:val="Heading1"/>
        <w:spacing w:before="240" w:after="80"/>
      </w:pPr>
      <w:r>
        <w:rPr>
          <w:rFonts w:ascii="Calibri" w:hAnsi="Calibri"/>
          <w:color w:val="1F3A5F"/>
          <w:sz w:val="28"/>
        </w:rPr>
        <w:t>2. Sources that enter the CI net of BCUs or RECs</w:t>
      </w:r>
    </w:p>
    <w:p>
      <w:pPr>
        <w:spacing w:after="80"/>
      </w:pPr>
      <w:r>
        <w:rPr>
          <w:b w:val="0"/>
          <w:i w:val="0"/>
        </w:rPr>
        <w:t>Five lines enter the CI after BCUs or RECs have been subtracted. Their size in Table 1 reflects offset coverage, not the underlying activity. The gross figures below are each workbook’s pre-offset total for that line. “Not possible” means the whole offset is smaller than 5% of pooled emissions, so even losing all of it would not move CI by 5%.</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944"/>
            <w:shd w:val="clear" w:color="auto" w:fill="D6E4F0"/>
          </w:tcPr>
          <w:p>
            <w:pPr>
              <w:keepNext/>
            </w:pPr>
            <w:r/>
            <w:r>
              <w:rPr>
                <w:b/>
                <w:sz w:val="18"/>
              </w:rPr>
              <w:t>Source</w:t>
            </w:r>
          </w:p>
        </w:tc>
        <w:tc>
          <w:tcPr>
            <w:tcW w:type="dxa" w:w="1008"/>
            <w:shd w:val="clear" w:color="auto" w:fill="D6E4F0"/>
          </w:tcPr>
          <w:p>
            <w:pPr>
              <w:keepNext/>
            </w:pPr>
            <w:r/>
            <w:r>
              <w:rPr>
                <w:b/>
                <w:sz w:val="18"/>
              </w:rPr>
              <w:t>Offset type</w:t>
            </w:r>
          </w:p>
        </w:tc>
        <w:tc>
          <w:tcPr>
            <w:tcW w:type="dxa" w:w="1224"/>
            <w:shd w:val="clear" w:color="auto" w:fill="D6E4F0"/>
          </w:tcPr>
          <w:p>
            <w:pPr>
              <w:keepNext/>
            </w:pPr>
            <w:r/>
            <w:r>
              <w:rPr>
                <w:b/>
                <w:sz w:val="18"/>
              </w:rPr>
              <w:t>Gross (t CO2e)</w:t>
            </w:r>
          </w:p>
        </w:tc>
        <w:tc>
          <w:tcPr>
            <w:tcW w:type="dxa" w:w="1224"/>
            <w:shd w:val="clear" w:color="auto" w:fill="D6E4F0"/>
          </w:tcPr>
          <w:p>
            <w:pPr>
              <w:keepNext/>
            </w:pPr>
            <w:r/>
            <w:r>
              <w:rPr>
                <w:b/>
                <w:sz w:val="18"/>
              </w:rPr>
              <w:t>Offset (t CO2e)</w:t>
            </w:r>
          </w:p>
        </w:tc>
        <w:tc>
          <w:tcPr>
            <w:tcW w:type="dxa" w:w="1152"/>
            <w:shd w:val="clear" w:color="auto" w:fill="D6E4F0"/>
          </w:tcPr>
          <w:p>
            <w:pPr>
              <w:keepNext/>
            </w:pPr>
            <w:r/>
            <w:r>
              <w:rPr>
                <w:b/>
                <w:sz w:val="18"/>
              </w:rPr>
              <w:t>In CI (t CO2e)</w:t>
            </w:r>
          </w:p>
        </w:tc>
        <w:tc>
          <w:tcPr>
            <w:tcW w:type="dxa" w:w="1296"/>
            <w:shd w:val="clear" w:color="auto" w:fill="D6E4F0"/>
          </w:tcPr>
          <w:p>
            <w:pPr>
              <w:keepNext/>
            </w:pPr>
            <w:r/>
            <w:r>
              <w:rPr>
                <w:b/>
                <w:sz w:val="18"/>
              </w:rPr>
              <w:t>CI rise if all offset lost</w:t>
            </w:r>
          </w:p>
        </w:tc>
        <w:tc>
          <w:tcPr>
            <w:tcW w:type="dxa" w:w="2088"/>
            <w:shd w:val="clear" w:color="auto" w:fill="D6E4F0"/>
          </w:tcPr>
          <w:p>
            <w:pPr>
              <w:keepNext/>
            </w:pPr>
            <w:r/>
            <w:r>
              <w:rPr>
                <w:b/>
                <w:sz w:val="18"/>
              </w:rPr>
              <w:t>Share of offset that must lapse to move CI 5%</w:t>
            </w:r>
          </w:p>
        </w:tc>
      </w:tr>
      <w:tr>
        <w:tc>
          <w:tcPr>
            <w:tcW w:type="dxa" w:w="1944"/>
          </w:tcPr>
          <w:p>
            <w:pPr>
              <w:keepNext/>
            </w:pPr>
            <w:r/>
            <w:r>
              <w:rPr>
                <w:sz w:val="18"/>
              </w:rPr>
              <w:t>Electricity</w:t>
            </w:r>
          </w:p>
        </w:tc>
        <w:tc>
          <w:tcPr>
            <w:tcW w:type="dxa" w:w="1008"/>
          </w:tcPr>
          <w:p>
            <w:pPr>
              <w:keepNext/>
            </w:pPr>
            <w:r/>
            <w:r>
              <w:rPr>
                <w:sz w:val="18"/>
              </w:rPr>
              <w:t>RECs</w:t>
            </w:r>
          </w:p>
        </w:tc>
        <w:tc>
          <w:tcPr>
            <w:tcW w:type="dxa" w:w="1224"/>
          </w:tcPr>
          <w:p>
            <w:pPr>
              <w:keepNext/>
              <w:jc w:val="right"/>
            </w:pPr>
            <w:r/>
            <w:r>
              <w:rPr>
                <w:sz w:val="18"/>
              </w:rPr>
              <w:t>427.1</w:t>
            </w:r>
          </w:p>
        </w:tc>
        <w:tc>
          <w:tcPr>
            <w:tcW w:type="dxa" w:w="1224"/>
          </w:tcPr>
          <w:p>
            <w:pPr>
              <w:keepNext/>
              <w:jc w:val="right"/>
            </w:pPr>
            <w:r/>
            <w:r>
              <w:rPr>
                <w:sz w:val="18"/>
              </w:rPr>
              <w:t>396.9</w:t>
            </w:r>
          </w:p>
        </w:tc>
        <w:tc>
          <w:tcPr>
            <w:tcW w:type="dxa" w:w="1152"/>
          </w:tcPr>
          <w:p>
            <w:pPr>
              <w:keepNext/>
              <w:jc w:val="right"/>
            </w:pPr>
            <w:r/>
            <w:r>
              <w:rPr>
                <w:sz w:val="18"/>
              </w:rPr>
              <w:t>30.2</w:t>
            </w:r>
          </w:p>
        </w:tc>
        <w:tc>
          <w:tcPr>
            <w:tcW w:type="dxa" w:w="1296"/>
          </w:tcPr>
          <w:p>
            <w:pPr>
              <w:keepNext/>
              <w:jc w:val="right"/>
            </w:pPr>
            <w:r/>
            <w:r>
              <w:rPr>
                <w:sz w:val="18"/>
              </w:rPr>
              <w:t>+77.8%</w:t>
            </w:r>
          </w:p>
        </w:tc>
        <w:tc>
          <w:tcPr>
            <w:tcW w:type="dxa" w:w="2088"/>
          </w:tcPr>
          <w:p>
            <w:pPr>
              <w:keepNext/>
              <w:jc w:val="right"/>
            </w:pPr>
            <w:r/>
            <w:r>
              <w:rPr>
                <w:sz w:val="18"/>
              </w:rPr>
              <w:t>6.4%</w:t>
            </w:r>
          </w:p>
        </w:tc>
      </w:tr>
      <w:tr>
        <w:tc>
          <w:tcPr>
            <w:tcW w:type="dxa" w:w="1944"/>
          </w:tcPr>
          <w:p>
            <w:pPr>
              <w:keepNext/>
            </w:pPr>
            <w:r/>
            <w:r>
              <w:rPr>
                <w:sz w:val="18"/>
              </w:rPr>
              <w:t>Diesel</w:t>
            </w:r>
          </w:p>
        </w:tc>
        <w:tc>
          <w:tcPr>
            <w:tcW w:type="dxa" w:w="1008"/>
          </w:tcPr>
          <w:p>
            <w:pPr>
              <w:keepNext/>
            </w:pPr>
            <w:r/>
            <w:r>
              <w:rPr>
                <w:sz w:val="18"/>
              </w:rPr>
              <w:t>BCUs</w:t>
            </w:r>
          </w:p>
        </w:tc>
        <w:tc>
          <w:tcPr>
            <w:tcW w:type="dxa" w:w="1224"/>
          </w:tcPr>
          <w:p>
            <w:pPr>
              <w:keepNext/>
              <w:jc w:val="right"/>
            </w:pPr>
            <w:r/>
            <w:r>
              <w:rPr>
                <w:sz w:val="18"/>
              </w:rPr>
              <w:t>287.4</w:t>
            </w:r>
          </w:p>
        </w:tc>
        <w:tc>
          <w:tcPr>
            <w:tcW w:type="dxa" w:w="1224"/>
          </w:tcPr>
          <w:p>
            <w:pPr>
              <w:keepNext/>
              <w:jc w:val="right"/>
            </w:pPr>
            <w:r/>
            <w:r>
              <w:rPr>
                <w:sz w:val="18"/>
              </w:rPr>
              <w:t>287.4</w:t>
            </w:r>
          </w:p>
        </w:tc>
        <w:tc>
          <w:tcPr>
            <w:tcW w:type="dxa" w:w="1152"/>
          </w:tcPr>
          <w:p>
            <w:pPr>
              <w:keepNext/>
              <w:jc w:val="right"/>
            </w:pPr>
            <w:r/>
            <w:r>
              <w:rPr>
                <w:sz w:val="18"/>
              </w:rPr>
              <w:t>0.0</w:t>
            </w:r>
          </w:p>
        </w:tc>
        <w:tc>
          <w:tcPr>
            <w:tcW w:type="dxa" w:w="1296"/>
          </w:tcPr>
          <w:p>
            <w:pPr>
              <w:keepNext/>
              <w:jc w:val="right"/>
            </w:pPr>
            <w:r/>
            <w:r>
              <w:rPr>
                <w:sz w:val="18"/>
              </w:rPr>
              <w:t>+56.3%</w:t>
            </w:r>
          </w:p>
        </w:tc>
        <w:tc>
          <w:tcPr>
            <w:tcW w:type="dxa" w:w="2088"/>
          </w:tcPr>
          <w:p>
            <w:pPr>
              <w:keepNext/>
              <w:jc w:val="right"/>
            </w:pPr>
            <w:r/>
            <w:r>
              <w:rPr>
                <w:sz w:val="18"/>
              </w:rPr>
              <w:t>8.9%</w:t>
            </w:r>
          </w:p>
        </w:tc>
      </w:tr>
      <w:tr>
        <w:tc>
          <w:tcPr>
            <w:tcW w:type="dxa" w:w="1944"/>
          </w:tcPr>
          <w:p>
            <w:pPr>
              <w:keepNext/>
            </w:pPr>
            <w:r/>
            <w:r>
              <w:rPr>
                <w:sz w:val="18"/>
              </w:rPr>
              <w:t>Biomass transport</w:t>
            </w:r>
          </w:p>
        </w:tc>
        <w:tc>
          <w:tcPr>
            <w:tcW w:type="dxa" w:w="1008"/>
          </w:tcPr>
          <w:p>
            <w:pPr>
              <w:keepNext/>
            </w:pPr>
            <w:r/>
            <w:r>
              <w:rPr>
                <w:sz w:val="18"/>
              </w:rPr>
              <w:t>BCUs</w:t>
            </w:r>
          </w:p>
        </w:tc>
        <w:tc>
          <w:tcPr>
            <w:tcW w:type="dxa" w:w="1224"/>
          </w:tcPr>
          <w:p>
            <w:pPr>
              <w:keepNext/>
              <w:jc w:val="right"/>
            </w:pPr>
            <w:r/>
            <w:r>
              <w:rPr>
                <w:sz w:val="18"/>
              </w:rPr>
              <w:t>43.7</w:t>
            </w:r>
          </w:p>
        </w:tc>
        <w:tc>
          <w:tcPr>
            <w:tcW w:type="dxa" w:w="1224"/>
          </w:tcPr>
          <w:p>
            <w:pPr>
              <w:keepNext/>
              <w:jc w:val="right"/>
            </w:pPr>
            <w:r/>
            <w:r>
              <w:rPr>
                <w:sz w:val="18"/>
              </w:rPr>
              <w:t>20.6</w:t>
            </w:r>
          </w:p>
        </w:tc>
        <w:tc>
          <w:tcPr>
            <w:tcW w:type="dxa" w:w="1152"/>
          </w:tcPr>
          <w:p>
            <w:pPr>
              <w:keepNext/>
              <w:jc w:val="right"/>
            </w:pPr>
            <w:r/>
            <w:r>
              <w:rPr>
                <w:sz w:val="18"/>
              </w:rPr>
              <w:t>23.1</w:t>
            </w:r>
          </w:p>
        </w:tc>
        <w:tc>
          <w:tcPr>
            <w:tcW w:type="dxa" w:w="1296"/>
          </w:tcPr>
          <w:p>
            <w:pPr>
              <w:keepNext/>
              <w:jc w:val="right"/>
            </w:pPr>
            <w:r/>
            <w:r>
              <w:rPr>
                <w:sz w:val="18"/>
              </w:rPr>
              <w:t>+4.0%</w:t>
            </w:r>
          </w:p>
        </w:tc>
        <w:tc>
          <w:tcPr>
            <w:tcW w:type="dxa" w:w="2088"/>
          </w:tcPr>
          <w:p>
            <w:pPr>
              <w:keepNext/>
              <w:jc w:val="right"/>
            </w:pPr>
            <w:r/>
            <w:r>
              <w:rPr>
                <w:sz w:val="18"/>
              </w:rPr>
              <w:t>Not possible</w:t>
            </w:r>
          </w:p>
        </w:tc>
      </w:tr>
      <w:tr>
        <w:tc>
          <w:tcPr>
            <w:tcW w:type="dxa" w:w="1944"/>
          </w:tcPr>
          <w:p>
            <w:pPr>
              <w:keepNext/>
            </w:pPr>
            <w:r/>
            <w:r>
              <w:rPr>
                <w:sz w:val="18"/>
              </w:rPr>
              <w:t>Waste disposal</w:t>
            </w:r>
          </w:p>
        </w:tc>
        <w:tc>
          <w:tcPr>
            <w:tcW w:type="dxa" w:w="1008"/>
          </w:tcPr>
          <w:p>
            <w:pPr>
              <w:keepNext/>
            </w:pPr>
            <w:r/>
            <w:r>
              <w:rPr>
                <w:sz w:val="18"/>
              </w:rPr>
              <w:t>BCUs</w:t>
            </w:r>
          </w:p>
        </w:tc>
        <w:tc>
          <w:tcPr>
            <w:tcW w:type="dxa" w:w="1224"/>
          </w:tcPr>
          <w:p>
            <w:pPr>
              <w:keepNext/>
              <w:jc w:val="right"/>
            </w:pPr>
            <w:r/>
            <w:r>
              <w:rPr>
                <w:sz w:val="18"/>
              </w:rPr>
              <w:t>8.4</w:t>
            </w:r>
          </w:p>
        </w:tc>
        <w:tc>
          <w:tcPr>
            <w:tcW w:type="dxa" w:w="1224"/>
          </w:tcPr>
          <w:p>
            <w:pPr>
              <w:keepNext/>
              <w:jc w:val="right"/>
            </w:pPr>
            <w:r/>
            <w:r>
              <w:rPr>
                <w:sz w:val="18"/>
              </w:rPr>
              <w:t>2.6</w:t>
            </w:r>
          </w:p>
        </w:tc>
        <w:tc>
          <w:tcPr>
            <w:tcW w:type="dxa" w:w="1152"/>
          </w:tcPr>
          <w:p>
            <w:pPr>
              <w:keepNext/>
              <w:jc w:val="right"/>
            </w:pPr>
            <w:r/>
            <w:r>
              <w:rPr>
                <w:sz w:val="18"/>
              </w:rPr>
              <w:t>5.8</w:t>
            </w:r>
          </w:p>
        </w:tc>
        <w:tc>
          <w:tcPr>
            <w:tcW w:type="dxa" w:w="1296"/>
          </w:tcPr>
          <w:p>
            <w:pPr>
              <w:keepNext/>
              <w:jc w:val="right"/>
            </w:pPr>
            <w:r/>
            <w:r>
              <w:rPr>
                <w:sz w:val="18"/>
              </w:rPr>
              <w:t>+0.5%</w:t>
            </w:r>
          </w:p>
        </w:tc>
        <w:tc>
          <w:tcPr>
            <w:tcW w:type="dxa" w:w="2088"/>
          </w:tcPr>
          <w:p>
            <w:pPr>
              <w:keepNext/>
              <w:jc w:val="right"/>
            </w:pPr>
            <w:r/>
            <w:r>
              <w:rPr>
                <w:sz w:val="18"/>
              </w:rPr>
              <w:t>Not possible</w:t>
            </w:r>
          </w:p>
        </w:tc>
      </w:tr>
      <w:tr>
        <w:tc>
          <w:tcPr>
            <w:tcW w:type="dxa" w:w="1944"/>
          </w:tcPr>
          <w:p>
            <w:r/>
            <w:r>
              <w:rPr>
                <w:sz w:val="18"/>
              </w:rPr>
              <w:t>Consumables delivery</w:t>
            </w:r>
          </w:p>
        </w:tc>
        <w:tc>
          <w:tcPr>
            <w:tcW w:type="dxa" w:w="1008"/>
          </w:tcPr>
          <w:p>
            <w:r/>
            <w:r>
              <w:rPr>
                <w:sz w:val="18"/>
              </w:rPr>
              <w:t>BCUs</w:t>
            </w:r>
          </w:p>
        </w:tc>
        <w:tc>
          <w:tcPr>
            <w:tcW w:type="dxa" w:w="1224"/>
          </w:tcPr>
          <w:p>
            <w:pPr>
              <w:jc w:val="right"/>
            </w:pPr>
            <w:r/>
            <w:r>
              <w:rPr>
                <w:sz w:val="18"/>
              </w:rPr>
              <w:t>1.7</w:t>
            </w:r>
          </w:p>
        </w:tc>
        <w:tc>
          <w:tcPr>
            <w:tcW w:type="dxa" w:w="1224"/>
          </w:tcPr>
          <w:p>
            <w:pPr>
              <w:jc w:val="right"/>
            </w:pPr>
            <w:r/>
            <w:r>
              <w:rPr>
                <w:sz w:val="18"/>
              </w:rPr>
              <w:t>0.9</w:t>
            </w:r>
          </w:p>
        </w:tc>
        <w:tc>
          <w:tcPr>
            <w:tcW w:type="dxa" w:w="1152"/>
          </w:tcPr>
          <w:p>
            <w:pPr>
              <w:jc w:val="right"/>
            </w:pPr>
            <w:r/>
            <w:r>
              <w:rPr>
                <w:sz w:val="18"/>
              </w:rPr>
              <w:t>0.8</w:t>
            </w:r>
          </w:p>
        </w:tc>
        <w:tc>
          <w:tcPr>
            <w:tcW w:type="dxa" w:w="1296"/>
          </w:tcPr>
          <w:p>
            <w:pPr>
              <w:jc w:val="right"/>
            </w:pPr>
            <w:r/>
            <w:r>
              <w:rPr>
                <w:sz w:val="18"/>
              </w:rPr>
              <w:t>+0.2%</w:t>
            </w:r>
          </w:p>
        </w:tc>
        <w:tc>
          <w:tcPr>
            <w:tcW w:type="dxa" w:w="2088"/>
          </w:tcPr>
          <w:p>
            <w:pPr>
              <w:jc w:val="right"/>
            </w:pPr>
            <w:r/>
            <w:r>
              <w:rPr>
                <w:sz w:val="18"/>
              </w:rPr>
              <w:t>Not possible</w:t>
            </w:r>
          </w:p>
        </w:tc>
      </w:tr>
    </w:tbl>
    <w:p>
      <w:pPr>
        <w:spacing w:after="40"/>
      </w:pPr>
      <w:r>
        <w:rPr>
          <w:b w:val="0"/>
          <w:i w:val="0"/>
        </w:rPr>
      </w:r>
    </w:p>
    <w:p>
      <w:pPr>
        <w:spacing w:after="80"/>
      </w:pPr>
      <w:r>
        <w:rPr>
          <w:b w:val="0"/>
          <w:i w:val="0"/>
        </w:rPr>
        <w:t>Electricity: the 84% in Table 1 assumes RECs keep covering every kWh. A kWh without REC coverage counts at the grid factor instead, about 13 times the solar REC factor (June 2026: 0.4890 vs 0.0366 kg CO2e/kWh, “Emission Factors” E10 and E11). Coverage gaps are the realistic route to a material electricity effect.</w:t>
      </w:r>
    </w:p>
    <w:p>
      <w:pPr>
        <w:pStyle w:val="Heading1"/>
        <w:spacing w:before="240" w:after="80"/>
      </w:pPr>
      <w:r>
        <w:rPr>
          <w:rFonts w:ascii="Calibri" w:hAnsi="Calibri"/>
          <w:color w:val="1F3A5F"/>
          <w:sz w:val="28"/>
        </w:rPr>
        <w:t>3. Data notes</w:t>
      </w:r>
    </w:p>
    <w:p>
      <w:pPr>
        <w:pStyle w:val="ListBullet"/>
        <w:spacing w:after="60"/>
      </w:pPr>
      <w:r>
        <w:rPr>
          <w:b/>
        </w:rPr>
        <w:t xml:space="preserve">Figures used. </w:t>
      </w:r>
      <w:r>
        <w:rPr>
          <w:b w:val="0"/>
        </w:rPr>
        <w:t>Each period’s “Consolidated Emissions Inventory (No GHG Neutralization)” block, which is the total each workbook allocates to its products. In all 19 periods the 11 lines sum to the workbook total, and the allocated amounts sum to the same total. For PP1 the “PP1 Summary -- Final Submission” tab is used.</w:t>
      </w:r>
    </w:p>
    <w:p>
      <w:pPr>
        <w:pStyle w:val="ListBullet"/>
        <w:spacing w:after="60"/>
      </w:pPr>
      <w:r>
        <w:rPr>
          <w:b/>
        </w:rPr>
        <w:t xml:space="preserve">Excluded. </w:t>
      </w:r>
      <w:r>
        <w:rPr>
          <w:b w:val="0"/>
        </w:rPr>
        <w:t>The Jul, Aug and Sep 2026 files are unfilled copies of June. Each still has the tab “Jun 26 PP Summary” and the identical total of 27.392 t. Also excluded: the Annual 2025 roll-up, which would double-count, and the Jan–Jun 2026 blend, which is derived from the monthly files.</w:t>
      </w:r>
    </w:p>
    <w:p>
      <w:pPr>
        <w:pStyle w:val="ListBullet"/>
        <w:spacing w:after="60"/>
      </w:pPr>
      <w:r>
        <w:rPr>
          <w:b/>
        </w:rPr>
        <w:t xml:space="preserve">Biomass transport, PP8 to June 2026. </w:t>
      </w:r>
      <w:r>
        <w:rPr>
          <w:b w:val="0"/>
        </w:rPr>
        <w:t>In these 12 workbooks the inventory line takes the pre-BCU total (cell C9, “Total Emissions”). Row 10 (“BCU's Applied”) is still counted in the retired-BCU total in F11 (=Sum(C10,C39,C81,C89)). PP1–PP7 took the post-BCU figure (“Remaining Emissions to Allocate”). Those 12 periods carry 18.4 t of biomass transport that is also covered by BCUs. That is 3.6% of pooled emissions, so the pooled CI is 3.6% higher than the post-BCU treatment would give, and biomass transport ranks 5th instead of 7th.</w:t>
      </w:r>
    </w:p>
    <w:p>
      <w:pPr>
        <w:pStyle w:val="ListBullet"/>
        <w:spacing w:after="60"/>
      </w:pPr>
      <w:r>
        <w:rPr>
          <w:b/>
        </w:rPr>
        <w:t xml:space="preserve">Cross-check. </w:t>
      </w:r>
      <w:r>
        <w:rPr>
          <w:b w:val="0"/>
        </w:rPr>
        <w:t>Repeating the calculation per period and pooling the bio-oil results gives the same ranking. Required changes for the top five sources shift by at most 9 percentage points (biomass transport: 110% pooled vs 101% per period).</w:t>
      </w:r>
    </w:p>
    <w:p>
      <w:pPr>
        <w:pStyle w:val="Heading1"/>
        <w:spacing w:before="240" w:after="80"/>
      </w:pPr>
      <w:r>
        <w:rPr>
          <w:rFonts w:ascii="Calibri" w:hAnsi="Calibri"/>
          <w:color w:val="1F3A5F"/>
          <w:sz w:val="28"/>
        </w:rPr>
        <w:t>4. Relation to the sensitivity analysis in PDD v1.12</w:t>
      </w:r>
    </w:p>
    <w:p>
      <w:pPr>
        <w:spacing w:after="80"/>
      </w:pPr>
      <w:r>
        <w:rPr>
          <w:b w:val="0"/>
          <w:i w:val="0"/>
        </w:rPr>
        <w:t>PDD v1.12 (uncertainty-approach justification) describes the existing test: “the value of each source was arbitrarily increased by 20%… Any parameter that, when increased by 20%, contributed to a change in the estimated removal that was greater than 1% of the original estimation was then subject to an Uncertainty Analysis”. That test was run on “a Sample Calculation of one truckload of bio oil originated at AECN… as well as the first Charm bio-oil injection in Kansas.”</w:t>
      </w:r>
    </w:p>
    <w:p>
      <w:pPr>
        <w:pStyle w:val="ListBullet"/>
        <w:spacing w:after="60"/>
      </w:pPr>
      <w:r>
        <w:rPr>
          <w:b/>
        </w:rPr>
        <w:t xml:space="preserve">What this document adds. </w:t>
      </w:r>
      <w:r>
        <w:rPr>
          <w:b w:val="0"/>
        </w:rPr>
        <w:t>The same kind of test run on 19 periods of Charm production data rather than one sample, measured against production CI rather than net removal, and inverted to give the change needed for a fixed 5% CI move.</w:t>
      </w:r>
    </w:p>
    <w:p>
      <w:pPr>
        <w:pStyle w:val="ListBullet"/>
        <w:spacing w:after="60"/>
      </w:pPr>
      <w:r>
        <w:rPr>
          <w:b/>
        </w:rPr>
        <w:t xml:space="preserve">Reading the +20% column. </w:t>
      </w:r>
      <w:r>
        <w:rPr>
          <w:b w:val="0"/>
        </w:rPr>
        <w:t>It shows each source’s effect on production CI under the PDD’s +20% change. The PDD’s 1% threshold applies to net removal, which also includes transport, injection and storage terms, so the two percentages are not directly comparable.</w:t>
      </w:r>
    </w:p>
    <w:p>
      <w:pPr>
        <w:pStyle w:val="ListBullet"/>
        <w:spacing w:after="60"/>
      </w:pPr>
      <w:r>
        <w:rPr>
          <w:b/>
        </w:rPr>
        <w:t xml:space="preserve">Aqueous allocation. </w:t>
      </w:r>
      <w:r>
        <w:rPr>
          <w:b w:val="0"/>
        </w:rPr>
        <w:t>The PDD change note states: “starting with Production Period 7, which covers June production, we began to allocate emissions to all 3 products.” The workbooks match: Aqueous first appears as an output with allocated emissions in the PP7 summary.</w:t>
      </w:r>
    </w:p>
    <w:p>
      <w:pPr>
        <w:sectPr>
          <w:pgSz w:w="12240" w:h="15840"/>
          <w:pgMar w:top="1152" w:right="1296" w:bottom="1152" w:left="1296" w:header="720" w:footer="720" w:gutter="0"/>
          <w:cols w:space="720"/>
          <w:docGrid w:linePitch="360"/>
        </w:sectPr>
      </w:pPr>
    </w:p>
    <w:p>
      <w:pPr>
        <w:pStyle w:val="Heading1"/>
        <w:spacing w:before="240" w:after="80"/>
      </w:pPr>
      <w:r>
        <w:rPr>
          <w:rFonts w:ascii="Calibri" w:hAnsi="Calibri"/>
          <w:color w:val="1F3A5F"/>
          <w:sz w:val="28"/>
        </w:rPr>
        <w:t>Appendix: share of each period’s emissions by source</w:t>
      </w:r>
    </w:p>
    <w:tbl>
      <w:tblPr>
        <w:tblStyle w:val="TableGrid"/>
        <w:tblW w:type="auto" w:w="0"/>
        <w:jc w:val="center"/>
        <w:tblLook w:firstColumn="1" w:firstRow="1" w:lastColumn="0" w:lastRow="0" w:noHBand="0" w:noVBand="1" w:val="04A0"/>
      </w:tblPr>
      <w:tblGrid>
        <w:gridCol w:w="1086"/>
        <w:gridCol w:w="1086"/>
        <w:gridCol w:w="1086"/>
        <w:gridCol w:w="1086"/>
        <w:gridCol w:w="1086"/>
        <w:gridCol w:w="1086"/>
        <w:gridCol w:w="1086"/>
        <w:gridCol w:w="1086"/>
        <w:gridCol w:w="1086"/>
        <w:gridCol w:w="1086"/>
        <w:gridCol w:w="1086"/>
        <w:gridCol w:w="1086"/>
        <w:gridCol w:w="1086"/>
      </w:tblGrid>
      <w:tr>
        <w:tc>
          <w:tcPr>
            <w:tcW w:type="dxa" w:w="1080"/>
            <w:shd w:val="clear" w:color="auto" w:fill="D6E4F0"/>
          </w:tcPr>
          <w:p>
            <w:pPr>
              <w:keepNext/>
            </w:pPr>
            <w:r/>
            <w:r>
              <w:rPr>
                <w:b/>
                <w:sz w:val="16"/>
              </w:rPr>
              <w:t>Period</w:t>
            </w:r>
          </w:p>
        </w:tc>
        <w:tc>
          <w:tcPr>
            <w:tcW w:type="dxa" w:w="1008"/>
            <w:shd w:val="clear" w:color="auto" w:fill="D6E4F0"/>
          </w:tcPr>
          <w:p>
            <w:pPr>
              <w:keepNext/>
            </w:pPr>
            <w:r/>
            <w:r>
              <w:rPr>
                <w:b/>
                <w:sz w:val="16"/>
              </w:rPr>
              <w:t>Total (t CO2e)</w:t>
            </w:r>
          </w:p>
        </w:tc>
        <w:tc>
          <w:tcPr>
            <w:tcW w:type="dxa" w:w="1123"/>
            <w:shd w:val="clear" w:color="auto" w:fill="D6E4F0"/>
          </w:tcPr>
          <w:p>
            <w:pPr>
              <w:keepNext/>
            </w:pPr>
            <w:r/>
            <w:r>
              <w:rPr>
                <w:b/>
                <w:sz w:val="16"/>
              </w:rPr>
              <w:t>Propane</w:t>
            </w:r>
          </w:p>
        </w:tc>
        <w:tc>
          <w:tcPr>
            <w:tcW w:type="dxa" w:w="1123"/>
            <w:shd w:val="clear" w:color="auto" w:fill="D6E4F0"/>
          </w:tcPr>
          <w:p>
            <w:pPr>
              <w:keepNext/>
            </w:pPr>
            <w:r/>
            <w:r>
              <w:rPr>
                <w:b/>
                <w:sz w:val="16"/>
              </w:rPr>
              <w:t>Capital goods</w:t>
            </w:r>
          </w:p>
        </w:tc>
        <w:tc>
          <w:tcPr>
            <w:tcW w:type="dxa" w:w="1123"/>
            <w:shd w:val="clear" w:color="auto" w:fill="D6E4F0"/>
          </w:tcPr>
          <w:p>
            <w:pPr>
              <w:keepNext/>
            </w:pPr>
            <w:r/>
            <w:r>
              <w:rPr>
                <w:b/>
                <w:sz w:val="16"/>
              </w:rPr>
              <w:t>Spare parts &amp; cons.</w:t>
            </w:r>
          </w:p>
        </w:tc>
        <w:tc>
          <w:tcPr>
            <w:tcW w:type="dxa" w:w="1123"/>
            <w:shd w:val="clear" w:color="auto" w:fill="D6E4F0"/>
          </w:tcPr>
          <w:p>
            <w:pPr>
              <w:keepNext/>
            </w:pPr>
            <w:r/>
            <w:r>
              <w:rPr>
                <w:b/>
                <w:sz w:val="16"/>
              </w:rPr>
              <w:t>Electricity</w:t>
            </w:r>
          </w:p>
        </w:tc>
        <w:tc>
          <w:tcPr>
            <w:tcW w:type="dxa" w:w="1123"/>
            <w:shd w:val="clear" w:color="auto" w:fill="D6E4F0"/>
          </w:tcPr>
          <w:p>
            <w:pPr>
              <w:keepNext/>
            </w:pPr>
            <w:r/>
            <w:r>
              <w:rPr>
                <w:b/>
                <w:sz w:val="16"/>
              </w:rPr>
              <w:t>Biomass transport</w:t>
            </w:r>
          </w:p>
        </w:tc>
        <w:tc>
          <w:tcPr>
            <w:tcW w:type="dxa" w:w="1123"/>
            <w:shd w:val="clear" w:color="auto" w:fill="D6E4F0"/>
          </w:tcPr>
          <w:p>
            <w:pPr>
              <w:keepNext/>
            </w:pPr>
            <w:r/>
            <w:r>
              <w:rPr>
                <w:b/>
                <w:sz w:val="16"/>
              </w:rPr>
              <w:t>Gasoline</w:t>
            </w:r>
          </w:p>
        </w:tc>
        <w:tc>
          <w:tcPr>
            <w:tcW w:type="dxa" w:w="1123"/>
            <w:shd w:val="clear" w:color="auto" w:fill="D6E4F0"/>
          </w:tcPr>
          <w:p>
            <w:pPr>
              <w:keepNext/>
            </w:pPr>
            <w:r/>
            <w:r>
              <w:rPr>
                <w:b/>
                <w:sz w:val="16"/>
              </w:rPr>
              <w:t>Waste disposal</w:t>
            </w:r>
          </w:p>
        </w:tc>
        <w:tc>
          <w:tcPr>
            <w:tcW w:type="dxa" w:w="1123"/>
            <w:shd w:val="clear" w:color="auto" w:fill="D6E4F0"/>
          </w:tcPr>
          <w:p>
            <w:pPr>
              <w:keepNext/>
            </w:pPr>
            <w:r/>
            <w:r>
              <w:rPr>
                <w:b/>
                <w:sz w:val="16"/>
              </w:rPr>
              <w:t>Tailgas</w:t>
            </w:r>
          </w:p>
        </w:tc>
        <w:tc>
          <w:tcPr>
            <w:tcW w:type="dxa" w:w="1123"/>
            <w:shd w:val="clear" w:color="auto" w:fill="D6E4F0"/>
          </w:tcPr>
          <w:p>
            <w:pPr>
              <w:keepNext/>
            </w:pPr>
            <w:r/>
            <w:r>
              <w:rPr>
                <w:b/>
                <w:sz w:val="16"/>
              </w:rPr>
              <w:t>Cons. delivery</w:t>
            </w:r>
          </w:p>
        </w:tc>
        <w:tc>
          <w:tcPr>
            <w:tcW w:type="dxa" w:w="1123"/>
            <w:shd w:val="clear" w:color="auto" w:fill="D6E4F0"/>
          </w:tcPr>
          <w:p>
            <w:pPr>
              <w:keepNext/>
            </w:pPr>
            <w:r/>
            <w:r>
              <w:rPr>
                <w:b/>
                <w:sz w:val="16"/>
              </w:rPr>
              <w:t>Water</w:t>
            </w:r>
          </w:p>
        </w:tc>
        <w:tc>
          <w:tcPr>
            <w:tcW w:type="dxa" w:w="1123"/>
            <w:shd w:val="clear" w:color="auto" w:fill="D6E4F0"/>
          </w:tcPr>
          <w:p>
            <w:pPr>
              <w:keepNext/>
            </w:pPr>
            <w:r/>
            <w:r>
              <w:rPr>
                <w:b/>
                <w:sz w:val="16"/>
              </w:rPr>
              <w:t>Diesel</w:t>
            </w:r>
          </w:p>
        </w:tc>
      </w:tr>
      <w:tr>
        <w:tc>
          <w:tcPr>
            <w:tcW w:type="dxa" w:w="1080"/>
          </w:tcPr>
          <w:p>
            <w:pPr>
              <w:keepNext/>
            </w:pPr>
            <w:r/>
            <w:r>
              <w:rPr>
                <w:sz w:val="16"/>
              </w:rPr>
              <w:t>PP1</w:t>
            </w:r>
          </w:p>
        </w:tc>
        <w:tc>
          <w:tcPr>
            <w:tcW w:type="dxa" w:w="1008"/>
          </w:tcPr>
          <w:p>
            <w:pPr>
              <w:keepNext/>
              <w:jc w:val="right"/>
            </w:pPr>
            <w:r/>
            <w:r>
              <w:rPr>
                <w:sz w:val="16"/>
              </w:rPr>
              <w:t>23.76</w:t>
            </w:r>
          </w:p>
        </w:tc>
        <w:tc>
          <w:tcPr>
            <w:tcW w:type="dxa" w:w="1123"/>
          </w:tcPr>
          <w:p>
            <w:pPr>
              <w:keepNext/>
              <w:jc w:val="right"/>
            </w:pPr>
            <w:r/>
            <w:r>
              <w:rPr>
                <w:sz w:val="16"/>
              </w:rPr>
              <w:t>33.7%</w:t>
            </w:r>
          </w:p>
        </w:tc>
        <w:tc>
          <w:tcPr>
            <w:tcW w:type="dxa" w:w="1123"/>
          </w:tcPr>
          <w:p>
            <w:pPr>
              <w:keepNext/>
              <w:jc w:val="right"/>
            </w:pPr>
            <w:r/>
            <w:r>
              <w:rPr>
                <w:sz w:val="16"/>
              </w:rPr>
              <w:t>18.6%</w:t>
            </w:r>
          </w:p>
        </w:tc>
        <w:tc>
          <w:tcPr>
            <w:tcW w:type="dxa" w:w="1123"/>
          </w:tcPr>
          <w:p>
            <w:pPr>
              <w:keepNext/>
              <w:jc w:val="right"/>
            </w:pPr>
            <w:r/>
            <w:r>
              <w:rPr>
                <w:sz w:val="16"/>
              </w:rPr>
              <w:t>21.6%</w:t>
            </w:r>
          </w:p>
        </w:tc>
        <w:tc>
          <w:tcPr>
            <w:tcW w:type="dxa" w:w="1123"/>
          </w:tcPr>
          <w:p>
            <w:pPr>
              <w:keepNext/>
              <w:jc w:val="right"/>
            </w:pPr>
            <w:r/>
            <w:r>
              <w:rPr>
                <w:sz w:val="16"/>
              </w:rPr>
              <w:t>11.1%</w:t>
            </w:r>
          </w:p>
        </w:tc>
        <w:tc>
          <w:tcPr>
            <w:tcW w:type="dxa" w:w="1123"/>
          </w:tcPr>
          <w:p>
            <w:pPr>
              <w:keepNext/>
              <w:jc w:val="right"/>
            </w:pPr>
            <w:r/>
            <w:r>
              <w:rPr>
                <w:sz w:val="16"/>
              </w:rPr>
              <w:t>0.4%</w:t>
            </w:r>
          </w:p>
        </w:tc>
        <w:tc>
          <w:tcPr>
            <w:tcW w:type="dxa" w:w="1123"/>
          </w:tcPr>
          <w:p>
            <w:pPr>
              <w:keepNext/>
              <w:jc w:val="right"/>
            </w:pPr>
            <w:r/>
            <w:r>
              <w:rPr>
                <w:sz w:val="16"/>
              </w:rPr>
              <w:t>5.2%</w:t>
            </w:r>
          </w:p>
        </w:tc>
        <w:tc>
          <w:tcPr>
            <w:tcW w:type="dxa" w:w="1123"/>
          </w:tcPr>
          <w:p>
            <w:pPr>
              <w:keepNext/>
              <w:jc w:val="right"/>
            </w:pPr>
            <w:r/>
            <w:r>
              <w:rPr>
                <w:sz w:val="16"/>
              </w:rPr>
              <w:t>5.1%</w:t>
            </w:r>
          </w:p>
        </w:tc>
        <w:tc>
          <w:tcPr>
            <w:tcW w:type="dxa" w:w="1123"/>
          </w:tcPr>
          <w:p>
            <w:pPr>
              <w:keepNext/>
              <w:jc w:val="right"/>
            </w:pPr>
            <w:r/>
            <w:r>
              <w:rPr>
                <w:sz w:val="16"/>
              </w:rPr>
              <w:t>3.8%</w:t>
            </w:r>
          </w:p>
        </w:tc>
        <w:tc>
          <w:tcPr>
            <w:tcW w:type="dxa" w:w="1123"/>
          </w:tcPr>
          <w:p>
            <w:pPr>
              <w:keepNext/>
              <w:jc w:val="right"/>
            </w:pPr>
            <w:r/>
            <w:r>
              <w:rPr>
                <w:sz w:val="16"/>
              </w:rPr>
              <w:t>0.2%</w:t>
            </w:r>
          </w:p>
        </w:tc>
        <w:tc>
          <w:tcPr>
            <w:tcW w:type="dxa" w:w="1123"/>
          </w:tcPr>
          <w:p>
            <w:pPr>
              <w:keepNext/>
              <w:jc w:val="right"/>
            </w:pPr>
            <w:r/>
            <w:r>
              <w:rPr>
                <w:sz w:val="16"/>
              </w:rPr>
              <w:t>0.4%</w:t>
            </w:r>
          </w:p>
        </w:tc>
        <w:tc>
          <w:tcPr>
            <w:tcW w:type="dxa" w:w="1123"/>
          </w:tcPr>
          <w:p>
            <w:pPr>
              <w:keepNext/>
              <w:jc w:val="right"/>
            </w:pPr>
            <w:r/>
            <w:r>
              <w:rPr>
                <w:sz w:val="16"/>
              </w:rPr>
              <w:t>0.0%</w:t>
            </w:r>
          </w:p>
        </w:tc>
      </w:tr>
      <w:tr>
        <w:tc>
          <w:tcPr>
            <w:tcW w:type="dxa" w:w="1080"/>
          </w:tcPr>
          <w:p>
            <w:pPr>
              <w:keepNext/>
            </w:pPr>
            <w:r/>
            <w:r>
              <w:rPr>
                <w:sz w:val="16"/>
              </w:rPr>
              <w:t>PP2</w:t>
            </w:r>
          </w:p>
        </w:tc>
        <w:tc>
          <w:tcPr>
            <w:tcW w:type="dxa" w:w="1008"/>
          </w:tcPr>
          <w:p>
            <w:pPr>
              <w:keepNext/>
              <w:jc w:val="right"/>
            </w:pPr>
            <w:r/>
            <w:r>
              <w:rPr>
                <w:sz w:val="16"/>
              </w:rPr>
              <w:t>29.21</w:t>
            </w:r>
          </w:p>
        </w:tc>
        <w:tc>
          <w:tcPr>
            <w:tcW w:type="dxa" w:w="1123"/>
          </w:tcPr>
          <w:p>
            <w:pPr>
              <w:keepNext/>
              <w:jc w:val="right"/>
            </w:pPr>
            <w:r/>
            <w:r>
              <w:rPr>
                <w:sz w:val="16"/>
              </w:rPr>
              <w:t>59.1%</w:t>
            </w:r>
          </w:p>
        </w:tc>
        <w:tc>
          <w:tcPr>
            <w:tcW w:type="dxa" w:w="1123"/>
          </w:tcPr>
          <w:p>
            <w:pPr>
              <w:keepNext/>
              <w:jc w:val="right"/>
            </w:pPr>
            <w:r/>
            <w:r>
              <w:rPr>
                <w:sz w:val="16"/>
              </w:rPr>
              <w:t>13.1%</w:t>
            </w:r>
          </w:p>
        </w:tc>
        <w:tc>
          <w:tcPr>
            <w:tcW w:type="dxa" w:w="1123"/>
          </w:tcPr>
          <w:p>
            <w:pPr>
              <w:keepNext/>
              <w:jc w:val="right"/>
            </w:pPr>
            <w:r/>
            <w:r>
              <w:rPr>
                <w:sz w:val="16"/>
              </w:rPr>
              <w:t>13.7%</w:t>
            </w:r>
          </w:p>
        </w:tc>
        <w:tc>
          <w:tcPr>
            <w:tcW w:type="dxa" w:w="1123"/>
          </w:tcPr>
          <w:p>
            <w:pPr>
              <w:keepNext/>
              <w:jc w:val="right"/>
            </w:pPr>
            <w:r/>
            <w:r>
              <w:rPr>
                <w:sz w:val="16"/>
              </w:rPr>
              <w:t>9.8%</w:t>
            </w:r>
          </w:p>
        </w:tc>
        <w:tc>
          <w:tcPr>
            <w:tcW w:type="dxa" w:w="1123"/>
          </w:tcPr>
          <w:p>
            <w:pPr>
              <w:keepNext/>
              <w:jc w:val="right"/>
            </w:pPr>
            <w:r/>
            <w:r>
              <w:rPr>
                <w:sz w:val="16"/>
              </w:rPr>
              <w:t>0.4%</w:t>
            </w:r>
          </w:p>
        </w:tc>
        <w:tc>
          <w:tcPr>
            <w:tcW w:type="dxa" w:w="1123"/>
          </w:tcPr>
          <w:p>
            <w:pPr>
              <w:keepNext/>
              <w:jc w:val="right"/>
            </w:pPr>
            <w:r/>
            <w:r>
              <w:rPr>
                <w:sz w:val="16"/>
              </w:rPr>
              <w:t>2.1%</w:t>
            </w:r>
          </w:p>
        </w:tc>
        <w:tc>
          <w:tcPr>
            <w:tcW w:type="dxa" w:w="1123"/>
          </w:tcPr>
          <w:p>
            <w:pPr>
              <w:keepNext/>
              <w:jc w:val="right"/>
            </w:pPr>
            <w:r/>
            <w:r>
              <w:rPr>
                <w:sz w:val="16"/>
              </w:rPr>
              <w:t>0.8%</w:t>
            </w:r>
          </w:p>
        </w:tc>
        <w:tc>
          <w:tcPr>
            <w:tcW w:type="dxa" w:w="1123"/>
          </w:tcPr>
          <w:p>
            <w:pPr>
              <w:keepNext/>
              <w:jc w:val="right"/>
            </w:pPr>
            <w:r/>
            <w:r>
              <w:rPr>
                <w:sz w:val="16"/>
              </w:rPr>
              <w:t>0.6%</w:t>
            </w:r>
          </w:p>
        </w:tc>
        <w:tc>
          <w:tcPr>
            <w:tcW w:type="dxa" w:w="1123"/>
          </w:tcPr>
          <w:p>
            <w:pPr>
              <w:keepNext/>
              <w:jc w:val="right"/>
            </w:pPr>
            <w:r/>
            <w:r>
              <w:rPr>
                <w:sz w:val="16"/>
              </w:rPr>
              <w:t>0.1%</w:t>
            </w:r>
          </w:p>
        </w:tc>
        <w:tc>
          <w:tcPr>
            <w:tcW w:type="dxa" w:w="1123"/>
          </w:tcPr>
          <w:p>
            <w:pPr>
              <w:keepNext/>
              <w:jc w:val="right"/>
            </w:pPr>
            <w:r/>
            <w:r>
              <w:rPr>
                <w:sz w:val="16"/>
              </w:rPr>
              <w:t>0.2%</w:t>
            </w:r>
          </w:p>
        </w:tc>
        <w:tc>
          <w:tcPr>
            <w:tcW w:type="dxa" w:w="1123"/>
          </w:tcPr>
          <w:p>
            <w:pPr>
              <w:keepNext/>
              <w:jc w:val="right"/>
            </w:pPr>
            <w:r/>
            <w:r>
              <w:rPr>
                <w:sz w:val="16"/>
              </w:rPr>
              <w:t>0.0%</w:t>
            </w:r>
          </w:p>
        </w:tc>
      </w:tr>
      <w:tr>
        <w:tc>
          <w:tcPr>
            <w:tcW w:type="dxa" w:w="1080"/>
          </w:tcPr>
          <w:p>
            <w:pPr>
              <w:keepNext/>
            </w:pPr>
            <w:r/>
            <w:r>
              <w:rPr>
                <w:sz w:val="16"/>
              </w:rPr>
              <w:t>PP3</w:t>
            </w:r>
          </w:p>
        </w:tc>
        <w:tc>
          <w:tcPr>
            <w:tcW w:type="dxa" w:w="1008"/>
          </w:tcPr>
          <w:p>
            <w:pPr>
              <w:keepNext/>
              <w:jc w:val="right"/>
            </w:pPr>
            <w:r/>
            <w:r>
              <w:rPr>
                <w:sz w:val="16"/>
              </w:rPr>
              <w:t>17.16</w:t>
            </w:r>
          </w:p>
        </w:tc>
        <w:tc>
          <w:tcPr>
            <w:tcW w:type="dxa" w:w="1123"/>
          </w:tcPr>
          <w:p>
            <w:pPr>
              <w:keepNext/>
              <w:jc w:val="right"/>
            </w:pPr>
            <w:r/>
            <w:r>
              <w:rPr>
                <w:sz w:val="16"/>
              </w:rPr>
              <w:t>55.4%</w:t>
            </w:r>
          </w:p>
        </w:tc>
        <w:tc>
          <w:tcPr>
            <w:tcW w:type="dxa" w:w="1123"/>
          </w:tcPr>
          <w:p>
            <w:pPr>
              <w:keepNext/>
              <w:jc w:val="right"/>
            </w:pPr>
            <w:r/>
            <w:r>
              <w:rPr>
                <w:sz w:val="16"/>
              </w:rPr>
              <w:t>15.5%</w:t>
            </w:r>
          </w:p>
        </w:tc>
        <w:tc>
          <w:tcPr>
            <w:tcW w:type="dxa" w:w="1123"/>
          </w:tcPr>
          <w:p>
            <w:pPr>
              <w:keepNext/>
              <w:jc w:val="right"/>
            </w:pPr>
            <w:r/>
            <w:r>
              <w:rPr>
                <w:sz w:val="16"/>
              </w:rPr>
              <w:t>13.0%</w:t>
            </w:r>
          </w:p>
        </w:tc>
        <w:tc>
          <w:tcPr>
            <w:tcW w:type="dxa" w:w="1123"/>
          </w:tcPr>
          <w:p>
            <w:pPr>
              <w:keepNext/>
              <w:jc w:val="right"/>
            </w:pPr>
            <w:r/>
            <w:r>
              <w:rPr>
                <w:sz w:val="16"/>
              </w:rPr>
              <w:t>8.0%</w:t>
            </w:r>
          </w:p>
        </w:tc>
        <w:tc>
          <w:tcPr>
            <w:tcW w:type="dxa" w:w="1123"/>
          </w:tcPr>
          <w:p>
            <w:pPr>
              <w:keepNext/>
              <w:jc w:val="right"/>
            </w:pPr>
            <w:r/>
            <w:r>
              <w:rPr>
                <w:sz w:val="16"/>
              </w:rPr>
              <w:t>0.4%</w:t>
            </w:r>
          </w:p>
        </w:tc>
        <w:tc>
          <w:tcPr>
            <w:tcW w:type="dxa" w:w="1123"/>
          </w:tcPr>
          <w:p>
            <w:pPr>
              <w:keepNext/>
              <w:jc w:val="right"/>
            </w:pPr>
            <w:r/>
            <w:r>
              <w:rPr>
                <w:sz w:val="16"/>
              </w:rPr>
              <w:t>6.2%</w:t>
            </w:r>
          </w:p>
        </w:tc>
        <w:tc>
          <w:tcPr>
            <w:tcW w:type="dxa" w:w="1123"/>
          </w:tcPr>
          <w:p>
            <w:pPr>
              <w:keepNext/>
              <w:jc w:val="right"/>
            </w:pPr>
            <w:r/>
            <w:r>
              <w:rPr>
                <w:sz w:val="16"/>
              </w:rPr>
              <w:t>0.4%</w:t>
            </w:r>
          </w:p>
        </w:tc>
        <w:tc>
          <w:tcPr>
            <w:tcW w:type="dxa" w:w="1123"/>
          </w:tcPr>
          <w:p>
            <w:pPr>
              <w:keepNext/>
              <w:jc w:val="right"/>
            </w:pPr>
            <w:r/>
            <w:r>
              <w:rPr>
                <w:sz w:val="16"/>
              </w:rPr>
              <w:t>0.7%</w:t>
            </w:r>
          </w:p>
        </w:tc>
        <w:tc>
          <w:tcPr>
            <w:tcW w:type="dxa" w:w="1123"/>
          </w:tcPr>
          <w:p>
            <w:pPr>
              <w:keepNext/>
              <w:jc w:val="right"/>
            </w:pPr>
            <w:r/>
            <w:r>
              <w:rPr>
                <w:sz w:val="16"/>
              </w:rPr>
              <w:t>0.2%</w:t>
            </w:r>
          </w:p>
        </w:tc>
        <w:tc>
          <w:tcPr>
            <w:tcW w:type="dxa" w:w="1123"/>
          </w:tcPr>
          <w:p>
            <w:pPr>
              <w:keepNext/>
              <w:jc w:val="right"/>
            </w:pPr>
            <w:r/>
            <w:r>
              <w:rPr>
                <w:sz w:val="16"/>
              </w:rPr>
              <w:t>0.3%</w:t>
            </w:r>
          </w:p>
        </w:tc>
        <w:tc>
          <w:tcPr>
            <w:tcW w:type="dxa" w:w="1123"/>
          </w:tcPr>
          <w:p>
            <w:pPr>
              <w:keepNext/>
              <w:jc w:val="right"/>
            </w:pPr>
            <w:r/>
            <w:r>
              <w:rPr>
                <w:sz w:val="16"/>
              </w:rPr>
              <w:t>0.0%</w:t>
            </w:r>
          </w:p>
        </w:tc>
      </w:tr>
      <w:tr>
        <w:tc>
          <w:tcPr>
            <w:tcW w:type="dxa" w:w="1080"/>
          </w:tcPr>
          <w:p>
            <w:pPr>
              <w:keepNext/>
            </w:pPr>
            <w:r/>
            <w:r>
              <w:rPr>
                <w:sz w:val="16"/>
              </w:rPr>
              <w:t>PP4</w:t>
            </w:r>
          </w:p>
        </w:tc>
        <w:tc>
          <w:tcPr>
            <w:tcW w:type="dxa" w:w="1008"/>
          </w:tcPr>
          <w:p>
            <w:pPr>
              <w:keepNext/>
              <w:jc w:val="right"/>
            </w:pPr>
            <w:r/>
            <w:r>
              <w:rPr>
                <w:sz w:val="16"/>
              </w:rPr>
              <w:t>29.92</w:t>
            </w:r>
          </w:p>
        </w:tc>
        <w:tc>
          <w:tcPr>
            <w:tcW w:type="dxa" w:w="1123"/>
          </w:tcPr>
          <w:p>
            <w:pPr>
              <w:keepNext/>
              <w:jc w:val="right"/>
            </w:pPr>
            <w:r/>
            <w:r>
              <w:rPr>
                <w:sz w:val="16"/>
              </w:rPr>
              <w:t>56.0%</w:t>
            </w:r>
          </w:p>
        </w:tc>
        <w:tc>
          <w:tcPr>
            <w:tcW w:type="dxa" w:w="1123"/>
          </w:tcPr>
          <w:p>
            <w:pPr>
              <w:keepNext/>
              <w:jc w:val="right"/>
            </w:pPr>
            <w:r/>
            <w:r>
              <w:rPr>
                <w:sz w:val="16"/>
              </w:rPr>
              <w:t>20.0%</w:t>
            </w:r>
          </w:p>
        </w:tc>
        <w:tc>
          <w:tcPr>
            <w:tcW w:type="dxa" w:w="1123"/>
          </w:tcPr>
          <w:p>
            <w:pPr>
              <w:keepNext/>
              <w:jc w:val="right"/>
            </w:pPr>
            <w:r/>
            <w:r>
              <w:rPr>
                <w:sz w:val="16"/>
              </w:rPr>
              <w:t>13.1%</w:t>
            </w:r>
          </w:p>
        </w:tc>
        <w:tc>
          <w:tcPr>
            <w:tcW w:type="dxa" w:w="1123"/>
          </w:tcPr>
          <w:p>
            <w:pPr>
              <w:keepNext/>
              <w:jc w:val="right"/>
            </w:pPr>
            <w:r/>
            <w:r>
              <w:rPr>
                <w:sz w:val="16"/>
              </w:rPr>
              <w:t>5.6%</w:t>
            </w:r>
          </w:p>
        </w:tc>
        <w:tc>
          <w:tcPr>
            <w:tcW w:type="dxa" w:w="1123"/>
          </w:tcPr>
          <w:p>
            <w:pPr>
              <w:keepNext/>
              <w:jc w:val="right"/>
            </w:pPr>
            <w:r/>
            <w:r>
              <w:rPr>
                <w:sz w:val="16"/>
              </w:rPr>
              <w:t>0.3%</w:t>
            </w:r>
          </w:p>
        </w:tc>
        <w:tc>
          <w:tcPr>
            <w:tcW w:type="dxa" w:w="1123"/>
          </w:tcPr>
          <w:p>
            <w:pPr>
              <w:keepNext/>
              <w:jc w:val="right"/>
            </w:pPr>
            <w:r/>
            <w:r>
              <w:rPr>
                <w:sz w:val="16"/>
              </w:rPr>
              <w:t>3.8%</w:t>
            </w:r>
          </w:p>
        </w:tc>
        <w:tc>
          <w:tcPr>
            <w:tcW w:type="dxa" w:w="1123"/>
          </w:tcPr>
          <w:p>
            <w:pPr>
              <w:keepNext/>
              <w:jc w:val="right"/>
            </w:pPr>
            <w:r/>
            <w:r>
              <w:rPr>
                <w:sz w:val="16"/>
              </w:rPr>
              <w:t>0.4%</w:t>
            </w:r>
          </w:p>
        </w:tc>
        <w:tc>
          <w:tcPr>
            <w:tcW w:type="dxa" w:w="1123"/>
          </w:tcPr>
          <w:p>
            <w:pPr>
              <w:keepNext/>
              <w:jc w:val="right"/>
            </w:pPr>
            <w:r/>
            <w:r>
              <w:rPr>
                <w:sz w:val="16"/>
              </w:rPr>
              <w:t>0.6%</w:t>
            </w:r>
          </w:p>
        </w:tc>
        <w:tc>
          <w:tcPr>
            <w:tcW w:type="dxa" w:w="1123"/>
          </w:tcPr>
          <w:p>
            <w:pPr>
              <w:keepNext/>
              <w:jc w:val="right"/>
            </w:pPr>
            <w:r/>
            <w:r>
              <w:rPr>
                <w:sz w:val="16"/>
              </w:rPr>
              <w:t>0.1%</w:t>
            </w:r>
          </w:p>
        </w:tc>
        <w:tc>
          <w:tcPr>
            <w:tcW w:type="dxa" w:w="1123"/>
          </w:tcPr>
          <w:p>
            <w:pPr>
              <w:keepNext/>
              <w:jc w:val="right"/>
            </w:pPr>
            <w:r/>
            <w:r>
              <w:rPr>
                <w:sz w:val="16"/>
              </w:rPr>
              <w:t>0.2%</w:t>
            </w:r>
          </w:p>
        </w:tc>
        <w:tc>
          <w:tcPr>
            <w:tcW w:type="dxa" w:w="1123"/>
          </w:tcPr>
          <w:p>
            <w:pPr>
              <w:keepNext/>
              <w:jc w:val="right"/>
            </w:pPr>
            <w:r/>
            <w:r>
              <w:rPr>
                <w:sz w:val="16"/>
              </w:rPr>
              <w:t>0.0%</w:t>
            </w:r>
          </w:p>
        </w:tc>
      </w:tr>
      <w:tr>
        <w:tc>
          <w:tcPr>
            <w:tcW w:type="dxa" w:w="1080"/>
          </w:tcPr>
          <w:p>
            <w:pPr>
              <w:keepNext/>
            </w:pPr>
            <w:r/>
            <w:r>
              <w:rPr>
                <w:sz w:val="16"/>
              </w:rPr>
              <w:t>PP5</w:t>
            </w:r>
          </w:p>
        </w:tc>
        <w:tc>
          <w:tcPr>
            <w:tcW w:type="dxa" w:w="1008"/>
          </w:tcPr>
          <w:p>
            <w:pPr>
              <w:keepNext/>
              <w:jc w:val="right"/>
            </w:pPr>
            <w:r/>
            <w:r>
              <w:rPr>
                <w:sz w:val="16"/>
              </w:rPr>
              <w:t>35.26</w:t>
            </w:r>
          </w:p>
        </w:tc>
        <w:tc>
          <w:tcPr>
            <w:tcW w:type="dxa" w:w="1123"/>
          </w:tcPr>
          <w:p>
            <w:pPr>
              <w:keepNext/>
              <w:jc w:val="right"/>
            </w:pPr>
            <w:r/>
            <w:r>
              <w:rPr>
                <w:sz w:val="16"/>
              </w:rPr>
              <w:t>59.1%</w:t>
            </w:r>
          </w:p>
        </w:tc>
        <w:tc>
          <w:tcPr>
            <w:tcW w:type="dxa" w:w="1123"/>
          </w:tcPr>
          <w:p>
            <w:pPr>
              <w:keepNext/>
              <w:jc w:val="right"/>
            </w:pPr>
            <w:r/>
            <w:r>
              <w:rPr>
                <w:sz w:val="16"/>
              </w:rPr>
              <w:t>19.0%</w:t>
            </w:r>
          </w:p>
        </w:tc>
        <w:tc>
          <w:tcPr>
            <w:tcW w:type="dxa" w:w="1123"/>
          </w:tcPr>
          <w:p>
            <w:pPr>
              <w:keepNext/>
              <w:jc w:val="right"/>
            </w:pPr>
            <w:r/>
            <w:r>
              <w:rPr>
                <w:sz w:val="16"/>
              </w:rPr>
              <w:t>11.6%</w:t>
            </w:r>
          </w:p>
        </w:tc>
        <w:tc>
          <w:tcPr>
            <w:tcW w:type="dxa" w:w="1123"/>
          </w:tcPr>
          <w:p>
            <w:pPr>
              <w:keepNext/>
              <w:jc w:val="right"/>
            </w:pPr>
            <w:r/>
            <w:r>
              <w:rPr>
                <w:sz w:val="16"/>
              </w:rPr>
              <w:t>5.9%</w:t>
            </w:r>
          </w:p>
        </w:tc>
        <w:tc>
          <w:tcPr>
            <w:tcW w:type="dxa" w:w="1123"/>
          </w:tcPr>
          <w:p>
            <w:pPr>
              <w:keepNext/>
              <w:jc w:val="right"/>
            </w:pPr>
            <w:r/>
            <w:r>
              <w:rPr>
                <w:sz w:val="16"/>
              </w:rPr>
              <w:t>0.2%</w:t>
            </w:r>
          </w:p>
        </w:tc>
        <w:tc>
          <w:tcPr>
            <w:tcW w:type="dxa" w:w="1123"/>
          </w:tcPr>
          <w:p>
            <w:pPr>
              <w:keepNext/>
              <w:jc w:val="right"/>
            </w:pPr>
            <w:r/>
            <w:r>
              <w:rPr>
                <w:sz w:val="16"/>
              </w:rPr>
              <w:t>3.1%</w:t>
            </w:r>
          </w:p>
        </w:tc>
        <w:tc>
          <w:tcPr>
            <w:tcW w:type="dxa" w:w="1123"/>
          </w:tcPr>
          <w:p>
            <w:pPr>
              <w:keepNext/>
              <w:jc w:val="right"/>
            </w:pPr>
            <w:r/>
            <w:r>
              <w:rPr>
                <w:sz w:val="16"/>
              </w:rPr>
              <w:t>0.0%</w:t>
            </w:r>
          </w:p>
        </w:tc>
        <w:tc>
          <w:tcPr>
            <w:tcW w:type="dxa" w:w="1123"/>
          </w:tcPr>
          <w:p>
            <w:pPr>
              <w:keepNext/>
              <w:jc w:val="right"/>
            </w:pPr>
            <w:r/>
            <w:r>
              <w:rPr>
                <w:sz w:val="16"/>
              </w:rPr>
              <w:t>0.6%</w:t>
            </w:r>
          </w:p>
        </w:tc>
        <w:tc>
          <w:tcPr>
            <w:tcW w:type="dxa" w:w="1123"/>
          </w:tcPr>
          <w:p>
            <w:pPr>
              <w:keepNext/>
              <w:jc w:val="right"/>
            </w:pPr>
            <w:r/>
            <w:r>
              <w:rPr>
                <w:sz w:val="16"/>
              </w:rPr>
              <w:t>0.1%</w:t>
            </w:r>
          </w:p>
        </w:tc>
        <w:tc>
          <w:tcPr>
            <w:tcW w:type="dxa" w:w="1123"/>
          </w:tcPr>
          <w:p>
            <w:pPr>
              <w:keepNext/>
              <w:jc w:val="right"/>
            </w:pPr>
            <w:r/>
            <w:r>
              <w:rPr>
                <w:sz w:val="16"/>
              </w:rPr>
              <w:t>0.4%</w:t>
            </w:r>
          </w:p>
        </w:tc>
        <w:tc>
          <w:tcPr>
            <w:tcW w:type="dxa" w:w="1123"/>
          </w:tcPr>
          <w:p>
            <w:pPr>
              <w:keepNext/>
              <w:jc w:val="right"/>
            </w:pPr>
            <w:r/>
            <w:r>
              <w:rPr>
                <w:sz w:val="16"/>
              </w:rPr>
              <w:t>0.0%</w:t>
            </w:r>
          </w:p>
        </w:tc>
      </w:tr>
      <w:tr>
        <w:tc>
          <w:tcPr>
            <w:tcW w:type="dxa" w:w="1080"/>
          </w:tcPr>
          <w:p>
            <w:pPr>
              <w:keepNext/>
            </w:pPr>
            <w:r/>
            <w:r>
              <w:rPr>
                <w:sz w:val="16"/>
              </w:rPr>
              <w:t>PP6</w:t>
            </w:r>
          </w:p>
        </w:tc>
        <w:tc>
          <w:tcPr>
            <w:tcW w:type="dxa" w:w="1008"/>
          </w:tcPr>
          <w:p>
            <w:pPr>
              <w:keepNext/>
              <w:jc w:val="right"/>
            </w:pPr>
            <w:r/>
            <w:r>
              <w:rPr>
                <w:sz w:val="16"/>
              </w:rPr>
              <w:t>33.92</w:t>
            </w:r>
          </w:p>
        </w:tc>
        <w:tc>
          <w:tcPr>
            <w:tcW w:type="dxa" w:w="1123"/>
          </w:tcPr>
          <w:p>
            <w:pPr>
              <w:keepNext/>
              <w:jc w:val="right"/>
            </w:pPr>
            <w:r/>
            <w:r>
              <w:rPr>
                <w:sz w:val="16"/>
              </w:rPr>
              <w:t>65.6%</w:t>
            </w:r>
          </w:p>
        </w:tc>
        <w:tc>
          <w:tcPr>
            <w:tcW w:type="dxa" w:w="1123"/>
          </w:tcPr>
          <w:p>
            <w:pPr>
              <w:keepNext/>
              <w:jc w:val="right"/>
            </w:pPr>
            <w:r/>
            <w:r>
              <w:rPr>
                <w:sz w:val="16"/>
              </w:rPr>
              <w:t>19.2%</w:t>
            </w:r>
          </w:p>
        </w:tc>
        <w:tc>
          <w:tcPr>
            <w:tcW w:type="dxa" w:w="1123"/>
          </w:tcPr>
          <w:p>
            <w:pPr>
              <w:keepNext/>
              <w:jc w:val="right"/>
            </w:pPr>
            <w:r/>
            <w:r>
              <w:rPr>
                <w:sz w:val="16"/>
              </w:rPr>
              <w:t>8.0%</w:t>
            </w:r>
          </w:p>
        </w:tc>
        <w:tc>
          <w:tcPr>
            <w:tcW w:type="dxa" w:w="1123"/>
          </w:tcPr>
          <w:p>
            <w:pPr>
              <w:keepNext/>
              <w:jc w:val="right"/>
            </w:pPr>
            <w:r/>
            <w:r>
              <w:rPr>
                <w:sz w:val="16"/>
              </w:rPr>
              <w:t>4.9%</w:t>
            </w:r>
          </w:p>
        </w:tc>
        <w:tc>
          <w:tcPr>
            <w:tcW w:type="dxa" w:w="1123"/>
          </w:tcPr>
          <w:p>
            <w:pPr>
              <w:keepNext/>
              <w:jc w:val="right"/>
            </w:pPr>
            <w:r/>
            <w:r>
              <w:rPr>
                <w:sz w:val="16"/>
              </w:rPr>
              <w:t>0.1%</w:t>
            </w:r>
          </w:p>
        </w:tc>
        <w:tc>
          <w:tcPr>
            <w:tcW w:type="dxa" w:w="1123"/>
          </w:tcPr>
          <w:p>
            <w:pPr>
              <w:keepNext/>
              <w:jc w:val="right"/>
            </w:pPr>
            <w:r/>
            <w:r>
              <w:rPr>
                <w:sz w:val="16"/>
              </w:rPr>
              <w:t>1.5%</w:t>
            </w:r>
          </w:p>
        </w:tc>
        <w:tc>
          <w:tcPr>
            <w:tcW w:type="dxa" w:w="1123"/>
          </w:tcPr>
          <w:p>
            <w:pPr>
              <w:keepNext/>
              <w:jc w:val="right"/>
            </w:pPr>
            <w:r/>
            <w:r>
              <w:rPr>
                <w:sz w:val="16"/>
              </w:rPr>
              <w:t>0.0%</w:t>
            </w:r>
          </w:p>
        </w:tc>
        <w:tc>
          <w:tcPr>
            <w:tcW w:type="dxa" w:w="1123"/>
          </w:tcPr>
          <w:p>
            <w:pPr>
              <w:keepNext/>
              <w:jc w:val="right"/>
            </w:pPr>
            <w:r/>
            <w:r>
              <w:rPr>
                <w:sz w:val="16"/>
              </w:rPr>
              <w:t>0.6%</w:t>
            </w:r>
          </w:p>
        </w:tc>
        <w:tc>
          <w:tcPr>
            <w:tcW w:type="dxa" w:w="1123"/>
          </w:tcPr>
          <w:p>
            <w:pPr>
              <w:keepNext/>
              <w:jc w:val="right"/>
            </w:pPr>
            <w:r/>
            <w:r>
              <w:rPr>
                <w:sz w:val="16"/>
              </w:rPr>
              <w:t>0.1%</w:t>
            </w:r>
          </w:p>
        </w:tc>
        <w:tc>
          <w:tcPr>
            <w:tcW w:type="dxa" w:w="1123"/>
          </w:tcPr>
          <w:p>
            <w:pPr>
              <w:keepNext/>
              <w:jc w:val="right"/>
            </w:pPr>
            <w:r/>
            <w:r>
              <w:rPr>
                <w:sz w:val="16"/>
              </w:rPr>
              <w:t>0.1%</w:t>
            </w:r>
          </w:p>
        </w:tc>
        <w:tc>
          <w:tcPr>
            <w:tcW w:type="dxa" w:w="1123"/>
          </w:tcPr>
          <w:p>
            <w:pPr>
              <w:keepNext/>
              <w:jc w:val="right"/>
            </w:pPr>
            <w:r/>
            <w:r>
              <w:rPr>
                <w:sz w:val="16"/>
              </w:rPr>
              <w:t>0.0%</w:t>
            </w:r>
          </w:p>
        </w:tc>
      </w:tr>
      <w:tr>
        <w:tc>
          <w:tcPr>
            <w:tcW w:type="dxa" w:w="1080"/>
          </w:tcPr>
          <w:p>
            <w:pPr>
              <w:keepNext/>
            </w:pPr>
            <w:r/>
            <w:r>
              <w:rPr>
                <w:sz w:val="16"/>
              </w:rPr>
              <w:t>PP7</w:t>
            </w:r>
          </w:p>
        </w:tc>
        <w:tc>
          <w:tcPr>
            <w:tcW w:type="dxa" w:w="1008"/>
          </w:tcPr>
          <w:p>
            <w:pPr>
              <w:keepNext/>
              <w:jc w:val="right"/>
            </w:pPr>
            <w:r/>
            <w:r>
              <w:rPr>
                <w:sz w:val="16"/>
              </w:rPr>
              <w:t>36.15</w:t>
            </w:r>
          </w:p>
        </w:tc>
        <w:tc>
          <w:tcPr>
            <w:tcW w:type="dxa" w:w="1123"/>
          </w:tcPr>
          <w:p>
            <w:pPr>
              <w:keepNext/>
              <w:jc w:val="right"/>
            </w:pPr>
            <w:r/>
            <w:r>
              <w:rPr>
                <w:sz w:val="16"/>
              </w:rPr>
              <w:t>63.4%</w:t>
            </w:r>
          </w:p>
        </w:tc>
        <w:tc>
          <w:tcPr>
            <w:tcW w:type="dxa" w:w="1123"/>
          </w:tcPr>
          <w:p>
            <w:pPr>
              <w:keepNext/>
              <w:jc w:val="right"/>
            </w:pPr>
            <w:r/>
            <w:r>
              <w:rPr>
                <w:sz w:val="16"/>
              </w:rPr>
              <w:t>19.5%</w:t>
            </w:r>
          </w:p>
        </w:tc>
        <w:tc>
          <w:tcPr>
            <w:tcW w:type="dxa" w:w="1123"/>
          </w:tcPr>
          <w:p>
            <w:pPr>
              <w:keepNext/>
              <w:jc w:val="right"/>
            </w:pPr>
            <w:r/>
            <w:r>
              <w:rPr>
                <w:sz w:val="16"/>
              </w:rPr>
              <w:t>7.7%</w:t>
            </w:r>
          </w:p>
        </w:tc>
        <w:tc>
          <w:tcPr>
            <w:tcW w:type="dxa" w:w="1123"/>
          </w:tcPr>
          <w:p>
            <w:pPr>
              <w:keepNext/>
              <w:jc w:val="right"/>
            </w:pPr>
            <w:r/>
            <w:r>
              <w:rPr>
                <w:sz w:val="16"/>
              </w:rPr>
              <w:t>4.4%</w:t>
            </w:r>
          </w:p>
        </w:tc>
        <w:tc>
          <w:tcPr>
            <w:tcW w:type="dxa" w:w="1123"/>
          </w:tcPr>
          <w:p>
            <w:pPr>
              <w:keepNext/>
              <w:jc w:val="right"/>
            </w:pPr>
            <w:r/>
            <w:r>
              <w:rPr>
                <w:sz w:val="16"/>
              </w:rPr>
              <w:t>2.2%</w:t>
            </w:r>
          </w:p>
        </w:tc>
        <w:tc>
          <w:tcPr>
            <w:tcW w:type="dxa" w:w="1123"/>
          </w:tcPr>
          <w:p>
            <w:pPr>
              <w:keepNext/>
              <w:jc w:val="right"/>
            </w:pPr>
            <w:r/>
            <w:r>
              <w:rPr>
                <w:sz w:val="16"/>
              </w:rPr>
              <w:t>1.7%</w:t>
            </w:r>
          </w:p>
        </w:tc>
        <w:tc>
          <w:tcPr>
            <w:tcW w:type="dxa" w:w="1123"/>
          </w:tcPr>
          <w:p>
            <w:pPr>
              <w:keepNext/>
              <w:jc w:val="right"/>
            </w:pPr>
            <w:r/>
            <w:r>
              <w:rPr>
                <w:sz w:val="16"/>
              </w:rPr>
              <w:t>0.2%</w:t>
            </w:r>
          </w:p>
        </w:tc>
        <w:tc>
          <w:tcPr>
            <w:tcW w:type="dxa" w:w="1123"/>
          </w:tcPr>
          <w:p>
            <w:pPr>
              <w:keepNext/>
              <w:jc w:val="right"/>
            </w:pPr>
            <w:r/>
            <w:r>
              <w:rPr>
                <w:sz w:val="16"/>
              </w:rPr>
              <w:t>0.6%</w:t>
            </w:r>
          </w:p>
        </w:tc>
        <w:tc>
          <w:tcPr>
            <w:tcW w:type="dxa" w:w="1123"/>
          </w:tcPr>
          <w:p>
            <w:pPr>
              <w:keepNext/>
              <w:jc w:val="right"/>
            </w:pPr>
            <w:r/>
            <w:r>
              <w:rPr>
                <w:sz w:val="16"/>
              </w:rPr>
              <w:t>0.1%</w:t>
            </w:r>
          </w:p>
        </w:tc>
        <w:tc>
          <w:tcPr>
            <w:tcW w:type="dxa" w:w="1123"/>
          </w:tcPr>
          <w:p>
            <w:pPr>
              <w:keepNext/>
              <w:jc w:val="right"/>
            </w:pPr>
            <w:r/>
            <w:r>
              <w:rPr>
                <w:sz w:val="16"/>
              </w:rPr>
              <w:t>0.1%</w:t>
            </w:r>
          </w:p>
        </w:tc>
        <w:tc>
          <w:tcPr>
            <w:tcW w:type="dxa" w:w="1123"/>
          </w:tcPr>
          <w:p>
            <w:pPr>
              <w:keepNext/>
              <w:jc w:val="right"/>
            </w:pPr>
            <w:r/>
            <w:r>
              <w:rPr>
                <w:sz w:val="16"/>
              </w:rPr>
              <w:t>0.0%</w:t>
            </w:r>
          </w:p>
        </w:tc>
      </w:tr>
      <w:tr>
        <w:tc>
          <w:tcPr>
            <w:tcW w:type="dxa" w:w="1080"/>
          </w:tcPr>
          <w:p>
            <w:pPr>
              <w:keepNext/>
            </w:pPr>
            <w:r/>
            <w:r>
              <w:rPr>
                <w:sz w:val="16"/>
              </w:rPr>
              <w:t>PP8</w:t>
            </w:r>
          </w:p>
        </w:tc>
        <w:tc>
          <w:tcPr>
            <w:tcW w:type="dxa" w:w="1008"/>
          </w:tcPr>
          <w:p>
            <w:pPr>
              <w:keepNext/>
              <w:jc w:val="right"/>
            </w:pPr>
            <w:r/>
            <w:r>
              <w:rPr>
                <w:sz w:val="16"/>
              </w:rPr>
              <w:t>43.34</w:t>
            </w:r>
          </w:p>
        </w:tc>
        <w:tc>
          <w:tcPr>
            <w:tcW w:type="dxa" w:w="1123"/>
          </w:tcPr>
          <w:p>
            <w:pPr>
              <w:keepNext/>
              <w:jc w:val="right"/>
            </w:pPr>
            <w:r/>
            <w:r>
              <w:rPr>
                <w:sz w:val="16"/>
              </w:rPr>
              <w:t>66.0%</w:t>
            </w:r>
          </w:p>
        </w:tc>
        <w:tc>
          <w:tcPr>
            <w:tcW w:type="dxa" w:w="1123"/>
          </w:tcPr>
          <w:p>
            <w:pPr>
              <w:keepNext/>
              <w:jc w:val="right"/>
            </w:pPr>
            <w:r/>
            <w:r>
              <w:rPr>
                <w:sz w:val="16"/>
              </w:rPr>
              <w:t>15.4%</w:t>
            </w:r>
          </w:p>
        </w:tc>
        <w:tc>
          <w:tcPr>
            <w:tcW w:type="dxa" w:w="1123"/>
          </w:tcPr>
          <w:p>
            <w:pPr>
              <w:keepNext/>
              <w:jc w:val="right"/>
            </w:pPr>
            <w:r/>
            <w:r>
              <w:rPr>
                <w:sz w:val="16"/>
              </w:rPr>
              <w:t>6.7%</w:t>
            </w:r>
          </w:p>
        </w:tc>
        <w:tc>
          <w:tcPr>
            <w:tcW w:type="dxa" w:w="1123"/>
          </w:tcPr>
          <w:p>
            <w:pPr>
              <w:keepNext/>
              <w:jc w:val="right"/>
            </w:pPr>
            <w:r/>
            <w:r>
              <w:rPr>
                <w:sz w:val="16"/>
              </w:rPr>
              <w:t>4.3%</w:t>
            </w:r>
          </w:p>
        </w:tc>
        <w:tc>
          <w:tcPr>
            <w:tcW w:type="dxa" w:w="1123"/>
          </w:tcPr>
          <w:p>
            <w:pPr>
              <w:keepNext/>
              <w:jc w:val="right"/>
            </w:pPr>
            <w:r/>
            <w:r>
              <w:rPr>
                <w:sz w:val="16"/>
              </w:rPr>
              <w:t>6.6%</w:t>
            </w:r>
          </w:p>
        </w:tc>
        <w:tc>
          <w:tcPr>
            <w:tcW w:type="dxa" w:w="1123"/>
          </w:tcPr>
          <w:p>
            <w:pPr>
              <w:keepNext/>
              <w:jc w:val="right"/>
            </w:pPr>
            <w:r/>
            <w:r>
              <w:rPr>
                <w:sz w:val="16"/>
              </w:rPr>
              <w:t>0.2%</w:t>
            </w:r>
          </w:p>
        </w:tc>
        <w:tc>
          <w:tcPr>
            <w:tcW w:type="dxa" w:w="1123"/>
          </w:tcPr>
          <w:p>
            <w:pPr>
              <w:keepNext/>
              <w:jc w:val="right"/>
            </w:pPr>
            <w:r/>
            <w:r>
              <w:rPr>
                <w:sz w:val="16"/>
              </w:rPr>
              <w:t>0.0%</w:t>
            </w:r>
          </w:p>
        </w:tc>
        <w:tc>
          <w:tcPr>
            <w:tcW w:type="dxa" w:w="1123"/>
          </w:tcPr>
          <w:p>
            <w:pPr>
              <w:keepNext/>
              <w:jc w:val="right"/>
            </w:pPr>
            <w:r/>
            <w:r>
              <w:rPr>
                <w:sz w:val="16"/>
              </w:rPr>
              <w:t>0.5%</w:t>
            </w:r>
          </w:p>
        </w:tc>
        <w:tc>
          <w:tcPr>
            <w:tcW w:type="dxa" w:w="1123"/>
          </w:tcPr>
          <w:p>
            <w:pPr>
              <w:keepNext/>
              <w:jc w:val="right"/>
            </w:pPr>
            <w:r/>
            <w:r>
              <w:rPr>
                <w:sz w:val="16"/>
              </w:rPr>
              <w:t>0.1%</w:t>
            </w:r>
          </w:p>
        </w:tc>
        <w:tc>
          <w:tcPr>
            <w:tcW w:type="dxa" w:w="1123"/>
          </w:tcPr>
          <w:p>
            <w:pPr>
              <w:keepNext/>
              <w:jc w:val="right"/>
            </w:pPr>
            <w:r/>
            <w:r>
              <w:rPr>
                <w:sz w:val="16"/>
              </w:rPr>
              <w:t>0.1%</w:t>
            </w:r>
          </w:p>
        </w:tc>
        <w:tc>
          <w:tcPr>
            <w:tcW w:type="dxa" w:w="1123"/>
          </w:tcPr>
          <w:p>
            <w:pPr>
              <w:keepNext/>
              <w:jc w:val="right"/>
            </w:pPr>
            <w:r/>
            <w:r>
              <w:rPr>
                <w:sz w:val="16"/>
              </w:rPr>
              <w:t>0.0%</w:t>
            </w:r>
          </w:p>
        </w:tc>
      </w:tr>
      <w:tr>
        <w:tc>
          <w:tcPr>
            <w:tcW w:type="dxa" w:w="1080"/>
          </w:tcPr>
          <w:p>
            <w:pPr>
              <w:keepNext/>
            </w:pPr>
            <w:r/>
            <w:r>
              <w:rPr>
                <w:sz w:val="16"/>
              </w:rPr>
              <w:t>Aug 2025</w:t>
            </w:r>
          </w:p>
        </w:tc>
        <w:tc>
          <w:tcPr>
            <w:tcW w:type="dxa" w:w="1008"/>
          </w:tcPr>
          <w:p>
            <w:pPr>
              <w:keepNext/>
              <w:jc w:val="right"/>
            </w:pPr>
            <w:r/>
            <w:r>
              <w:rPr>
                <w:sz w:val="16"/>
              </w:rPr>
              <w:t>31.56</w:t>
            </w:r>
          </w:p>
        </w:tc>
        <w:tc>
          <w:tcPr>
            <w:tcW w:type="dxa" w:w="1123"/>
          </w:tcPr>
          <w:p>
            <w:pPr>
              <w:keepNext/>
              <w:jc w:val="right"/>
            </w:pPr>
            <w:r/>
            <w:r>
              <w:rPr>
                <w:sz w:val="16"/>
              </w:rPr>
              <w:t>64.0%</w:t>
            </w:r>
          </w:p>
        </w:tc>
        <w:tc>
          <w:tcPr>
            <w:tcW w:type="dxa" w:w="1123"/>
          </w:tcPr>
          <w:p>
            <w:pPr>
              <w:keepNext/>
              <w:jc w:val="right"/>
            </w:pPr>
            <w:r/>
            <w:r>
              <w:rPr>
                <w:sz w:val="16"/>
              </w:rPr>
              <w:t>16.9%</w:t>
            </w:r>
          </w:p>
        </w:tc>
        <w:tc>
          <w:tcPr>
            <w:tcW w:type="dxa" w:w="1123"/>
          </w:tcPr>
          <w:p>
            <w:pPr>
              <w:keepNext/>
              <w:jc w:val="right"/>
            </w:pPr>
            <w:r/>
            <w:r>
              <w:rPr>
                <w:sz w:val="16"/>
              </w:rPr>
              <w:t>7.1%</w:t>
            </w:r>
          </w:p>
        </w:tc>
        <w:tc>
          <w:tcPr>
            <w:tcW w:type="dxa" w:w="1123"/>
          </w:tcPr>
          <w:p>
            <w:pPr>
              <w:keepNext/>
              <w:jc w:val="right"/>
            </w:pPr>
            <w:r/>
            <w:r>
              <w:rPr>
                <w:sz w:val="16"/>
              </w:rPr>
              <w:t>5.3%</w:t>
            </w:r>
          </w:p>
        </w:tc>
        <w:tc>
          <w:tcPr>
            <w:tcW w:type="dxa" w:w="1123"/>
          </w:tcPr>
          <w:p>
            <w:pPr>
              <w:keepNext/>
              <w:jc w:val="right"/>
            </w:pPr>
            <w:r/>
            <w:r>
              <w:rPr>
                <w:sz w:val="16"/>
              </w:rPr>
              <w:t>5.2%</w:t>
            </w:r>
          </w:p>
        </w:tc>
        <w:tc>
          <w:tcPr>
            <w:tcW w:type="dxa" w:w="1123"/>
          </w:tcPr>
          <w:p>
            <w:pPr>
              <w:keepNext/>
              <w:jc w:val="right"/>
            </w:pPr>
            <w:r/>
            <w:r>
              <w:rPr>
                <w:sz w:val="16"/>
              </w:rPr>
              <w:t>0.7%</w:t>
            </w:r>
          </w:p>
        </w:tc>
        <w:tc>
          <w:tcPr>
            <w:tcW w:type="dxa" w:w="1123"/>
          </w:tcPr>
          <w:p>
            <w:pPr>
              <w:keepNext/>
              <w:jc w:val="right"/>
            </w:pPr>
            <w:r/>
            <w:r>
              <w:rPr>
                <w:sz w:val="16"/>
              </w:rPr>
              <w:t>0.0%</w:t>
            </w:r>
          </w:p>
        </w:tc>
        <w:tc>
          <w:tcPr>
            <w:tcW w:type="dxa" w:w="1123"/>
          </w:tcPr>
          <w:p>
            <w:pPr>
              <w:keepNext/>
              <w:jc w:val="right"/>
            </w:pPr>
            <w:r/>
            <w:r>
              <w:rPr>
                <w:sz w:val="16"/>
              </w:rPr>
              <w:t>0.5%</w:t>
            </w:r>
          </w:p>
        </w:tc>
        <w:tc>
          <w:tcPr>
            <w:tcW w:type="dxa" w:w="1123"/>
          </w:tcPr>
          <w:p>
            <w:pPr>
              <w:keepNext/>
              <w:jc w:val="right"/>
            </w:pPr>
            <w:r/>
            <w:r>
              <w:rPr>
                <w:sz w:val="16"/>
              </w:rPr>
              <w:t>0.1%</w:t>
            </w:r>
          </w:p>
        </w:tc>
        <w:tc>
          <w:tcPr>
            <w:tcW w:type="dxa" w:w="1123"/>
          </w:tcPr>
          <w:p>
            <w:pPr>
              <w:keepNext/>
              <w:jc w:val="right"/>
            </w:pPr>
            <w:r/>
            <w:r>
              <w:rPr>
                <w:sz w:val="16"/>
              </w:rPr>
              <w:t>0.1%</w:t>
            </w:r>
          </w:p>
        </w:tc>
        <w:tc>
          <w:tcPr>
            <w:tcW w:type="dxa" w:w="1123"/>
          </w:tcPr>
          <w:p>
            <w:pPr>
              <w:keepNext/>
              <w:jc w:val="right"/>
            </w:pPr>
            <w:r/>
            <w:r>
              <w:rPr>
                <w:sz w:val="16"/>
              </w:rPr>
              <w:t>0.0%</w:t>
            </w:r>
          </w:p>
        </w:tc>
      </w:tr>
      <w:tr>
        <w:tc>
          <w:tcPr>
            <w:tcW w:type="dxa" w:w="1080"/>
          </w:tcPr>
          <w:p>
            <w:pPr>
              <w:keepNext/>
            </w:pPr>
            <w:r/>
            <w:r>
              <w:rPr>
                <w:sz w:val="16"/>
              </w:rPr>
              <w:t>Sep 2025</w:t>
            </w:r>
          </w:p>
        </w:tc>
        <w:tc>
          <w:tcPr>
            <w:tcW w:type="dxa" w:w="1008"/>
          </w:tcPr>
          <w:p>
            <w:pPr>
              <w:keepNext/>
              <w:jc w:val="right"/>
            </w:pPr>
            <w:r/>
            <w:r>
              <w:rPr>
                <w:sz w:val="16"/>
              </w:rPr>
              <w:t>21.79</w:t>
            </w:r>
          </w:p>
        </w:tc>
        <w:tc>
          <w:tcPr>
            <w:tcW w:type="dxa" w:w="1123"/>
          </w:tcPr>
          <w:p>
            <w:pPr>
              <w:keepNext/>
              <w:jc w:val="right"/>
            </w:pPr>
            <w:r/>
            <w:r>
              <w:rPr>
                <w:sz w:val="16"/>
              </w:rPr>
              <w:t>52.3%</w:t>
            </w:r>
          </w:p>
        </w:tc>
        <w:tc>
          <w:tcPr>
            <w:tcW w:type="dxa" w:w="1123"/>
          </w:tcPr>
          <w:p>
            <w:pPr>
              <w:keepNext/>
              <w:jc w:val="right"/>
            </w:pPr>
            <w:r/>
            <w:r>
              <w:rPr>
                <w:sz w:val="16"/>
              </w:rPr>
              <w:t>18.7%</w:t>
            </w:r>
          </w:p>
        </w:tc>
        <w:tc>
          <w:tcPr>
            <w:tcW w:type="dxa" w:w="1123"/>
          </w:tcPr>
          <w:p>
            <w:pPr>
              <w:keepNext/>
              <w:jc w:val="right"/>
            </w:pPr>
            <w:r/>
            <w:r>
              <w:rPr>
                <w:sz w:val="16"/>
              </w:rPr>
              <w:t>6.2%</w:t>
            </w:r>
          </w:p>
        </w:tc>
        <w:tc>
          <w:tcPr>
            <w:tcW w:type="dxa" w:w="1123"/>
          </w:tcPr>
          <w:p>
            <w:pPr>
              <w:keepNext/>
              <w:jc w:val="right"/>
            </w:pPr>
            <w:r/>
            <w:r>
              <w:rPr>
                <w:sz w:val="16"/>
              </w:rPr>
              <w:t>6.0%</w:t>
            </w:r>
          </w:p>
        </w:tc>
        <w:tc>
          <w:tcPr>
            <w:tcW w:type="dxa" w:w="1123"/>
          </w:tcPr>
          <w:p>
            <w:pPr>
              <w:keepNext/>
              <w:jc w:val="right"/>
            </w:pPr>
            <w:r/>
            <w:r>
              <w:rPr>
                <w:sz w:val="16"/>
              </w:rPr>
              <w:t>13.4%</w:t>
            </w:r>
          </w:p>
        </w:tc>
        <w:tc>
          <w:tcPr>
            <w:tcW w:type="dxa" w:w="1123"/>
          </w:tcPr>
          <w:p>
            <w:pPr>
              <w:keepNext/>
              <w:jc w:val="right"/>
            </w:pPr>
            <w:r/>
            <w:r>
              <w:rPr>
                <w:sz w:val="16"/>
              </w:rPr>
              <w:t>0.0%</w:t>
            </w:r>
          </w:p>
        </w:tc>
        <w:tc>
          <w:tcPr>
            <w:tcW w:type="dxa" w:w="1123"/>
          </w:tcPr>
          <w:p>
            <w:pPr>
              <w:keepNext/>
              <w:jc w:val="right"/>
            </w:pPr>
            <w:r/>
            <w:r>
              <w:rPr>
                <w:sz w:val="16"/>
              </w:rPr>
              <w:t>2.7%</w:t>
            </w:r>
          </w:p>
        </w:tc>
        <w:tc>
          <w:tcPr>
            <w:tcW w:type="dxa" w:w="1123"/>
          </w:tcPr>
          <w:p>
            <w:pPr>
              <w:keepNext/>
              <w:jc w:val="right"/>
            </w:pPr>
            <w:r/>
            <w:r>
              <w:rPr>
                <w:sz w:val="16"/>
              </w:rPr>
              <w:t>0.6%</w:t>
            </w:r>
          </w:p>
        </w:tc>
        <w:tc>
          <w:tcPr>
            <w:tcW w:type="dxa" w:w="1123"/>
          </w:tcPr>
          <w:p>
            <w:pPr>
              <w:keepNext/>
              <w:jc w:val="right"/>
            </w:pPr>
            <w:r/>
            <w:r>
              <w:rPr>
                <w:sz w:val="16"/>
              </w:rPr>
              <w:t>0.1%</w:t>
            </w:r>
          </w:p>
        </w:tc>
        <w:tc>
          <w:tcPr>
            <w:tcW w:type="dxa" w:w="1123"/>
          </w:tcPr>
          <w:p>
            <w:pPr>
              <w:keepNext/>
              <w:jc w:val="right"/>
            </w:pPr>
            <w:r/>
            <w:r>
              <w:rPr>
                <w:sz w:val="16"/>
              </w:rPr>
              <w:t>0.1%</w:t>
            </w:r>
          </w:p>
        </w:tc>
        <w:tc>
          <w:tcPr>
            <w:tcW w:type="dxa" w:w="1123"/>
          </w:tcPr>
          <w:p>
            <w:pPr>
              <w:keepNext/>
              <w:jc w:val="right"/>
            </w:pPr>
            <w:r/>
            <w:r>
              <w:rPr>
                <w:sz w:val="16"/>
              </w:rPr>
              <w:t>0.0%</w:t>
            </w:r>
          </w:p>
        </w:tc>
      </w:tr>
      <w:tr>
        <w:tc>
          <w:tcPr>
            <w:tcW w:type="dxa" w:w="1080"/>
          </w:tcPr>
          <w:p>
            <w:pPr>
              <w:keepNext/>
            </w:pPr>
            <w:r/>
            <w:r>
              <w:rPr>
                <w:sz w:val="16"/>
              </w:rPr>
              <w:t>Oct 2025</w:t>
            </w:r>
          </w:p>
        </w:tc>
        <w:tc>
          <w:tcPr>
            <w:tcW w:type="dxa" w:w="1008"/>
          </w:tcPr>
          <w:p>
            <w:pPr>
              <w:keepNext/>
              <w:jc w:val="right"/>
            </w:pPr>
            <w:r/>
            <w:r>
              <w:rPr>
                <w:sz w:val="16"/>
              </w:rPr>
              <w:t>24.86</w:t>
            </w:r>
          </w:p>
        </w:tc>
        <w:tc>
          <w:tcPr>
            <w:tcW w:type="dxa" w:w="1123"/>
          </w:tcPr>
          <w:p>
            <w:pPr>
              <w:keepNext/>
              <w:jc w:val="right"/>
            </w:pPr>
            <w:r/>
            <w:r>
              <w:rPr>
                <w:sz w:val="16"/>
              </w:rPr>
              <w:t>64.2%</w:t>
            </w:r>
          </w:p>
        </w:tc>
        <w:tc>
          <w:tcPr>
            <w:tcW w:type="dxa" w:w="1123"/>
          </w:tcPr>
          <w:p>
            <w:pPr>
              <w:keepNext/>
              <w:jc w:val="right"/>
            </w:pPr>
            <w:r/>
            <w:r>
              <w:rPr>
                <w:sz w:val="16"/>
              </w:rPr>
              <w:t>12.3%</w:t>
            </w:r>
          </w:p>
        </w:tc>
        <w:tc>
          <w:tcPr>
            <w:tcW w:type="dxa" w:w="1123"/>
          </w:tcPr>
          <w:p>
            <w:pPr>
              <w:keepNext/>
              <w:jc w:val="right"/>
            </w:pPr>
            <w:r/>
            <w:r>
              <w:rPr>
                <w:sz w:val="16"/>
              </w:rPr>
              <w:t>6.4%</w:t>
            </w:r>
          </w:p>
        </w:tc>
        <w:tc>
          <w:tcPr>
            <w:tcW w:type="dxa" w:w="1123"/>
          </w:tcPr>
          <w:p>
            <w:pPr>
              <w:keepNext/>
              <w:jc w:val="right"/>
            </w:pPr>
            <w:r/>
            <w:r>
              <w:rPr>
                <w:sz w:val="16"/>
              </w:rPr>
              <w:t>5.7%</w:t>
            </w:r>
          </w:p>
        </w:tc>
        <w:tc>
          <w:tcPr>
            <w:tcW w:type="dxa" w:w="1123"/>
          </w:tcPr>
          <w:p>
            <w:pPr>
              <w:keepNext/>
              <w:jc w:val="right"/>
            </w:pPr>
            <w:r/>
            <w:r>
              <w:rPr>
                <w:sz w:val="16"/>
              </w:rPr>
              <w:t>5.8%</w:t>
            </w:r>
          </w:p>
        </w:tc>
        <w:tc>
          <w:tcPr>
            <w:tcW w:type="dxa" w:w="1123"/>
          </w:tcPr>
          <w:p>
            <w:pPr>
              <w:keepNext/>
              <w:jc w:val="right"/>
            </w:pPr>
            <w:r/>
            <w:r>
              <w:rPr>
                <w:sz w:val="16"/>
              </w:rPr>
              <w:t>2.0%</w:t>
            </w:r>
          </w:p>
        </w:tc>
        <w:tc>
          <w:tcPr>
            <w:tcW w:type="dxa" w:w="1123"/>
          </w:tcPr>
          <w:p>
            <w:pPr>
              <w:keepNext/>
              <w:jc w:val="right"/>
            </w:pPr>
            <w:r/>
            <w:r>
              <w:rPr>
                <w:sz w:val="16"/>
              </w:rPr>
              <w:t>3.0%</w:t>
            </w:r>
          </w:p>
        </w:tc>
        <w:tc>
          <w:tcPr>
            <w:tcW w:type="dxa" w:w="1123"/>
          </w:tcPr>
          <w:p>
            <w:pPr>
              <w:keepNext/>
              <w:jc w:val="right"/>
            </w:pPr>
            <w:r/>
            <w:r>
              <w:rPr>
                <w:sz w:val="16"/>
              </w:rPr>
              <w:t>0.4%</w:t>
            </w:r>
          </w:p>
        </w:tc>
        <w:tc>
          <w:tcPr>
            <w:tcW w:type="dxa" w:w="1123"/>
          </w:tcPr>
          <w:p>
            <w:pPr>
              <w:keepNext/>
              <w:jc w:val="right"/>
            </w:pPr>
            <w:r/>
            <w:r>
              <w:rPr>
                <w:sz w:val="16"/>
              </w:rPr>
              <w:t>0.1%</w:t>
            </w:r>
          </w:p>
        </w:tc>
        <w:tc>
          <w:tcPr>
            <w:tcW w:type="dxa" w:w="1123"/>
          </w:tcPr>
          <w:p>
            <w:pPr>
              <w:keepNext/>
              <w:jc w:val="right"/>
            </w:pPr>
            <w:r/>
            <w:r>
              <w:rPr>
                <w:sz w:val="16"/>
              </w:rPr>
              <w:t>0.0%</w:t>
            </w:r>
          </w:p>
        </w:tc>
        <w:tc>
          <w:tcPr>
            <w:tcW w:type="dxa" w:w="1123"/>
          </w:tcPr>
          <w:p>
            <w:pPr>
              <w:keepNext/>
              <w:jc w:val="right"/>
            </w:pPr>
            <w:r/>
            <w:r>
              <w:rPr>
                <w:sz w:val="16"/>
              </w:rPr>
              <w:t>0.0%</w:t>
            </w:r>
          </w:p>
        </w:tc>
      </w:tr>
      <w:tr>
        <w:tc>
          <w:tcPr>
            <w:tcW w:type="dxa" w:w="1080"/>
          </w:tcPr>
          <w:p>
            <w:pPr>
              <w:keepNext/>
            </w:pPr>
            <w:r/>
            <w:r>
              <w:rPr>
                <w:sz w:val="16"/>
              </w:rPr>
              <w:t>Nov 2025</w:t>
            </w:r>
          </w:p>
        </w:tc>
        <w:tc>
          <w:tcPr>
            <w:tcW w:type="dxa" w:w="1008"/>
          </w:tcPr>
          <w:p>
            <w:pPr>
              <w:keepNext/>
              <w:jc w:val="right"/>
            </w:pPr>
            <w:r/>
            <w:r>
              <w:rPr>
                <w:sz w:val="16"/>
              </w:rPr>
              <w:t>22.09</w:t>
            </w:r>
          </w:p>
        </w:tc>
        <w:tc>
          <w:tcPr>
            <w:tcW w:type="dxa" w:w="1123"/>
          </w:tcPr>
          <w:p>
            <w:pPr>
              <w:keepNext/>
              <w:jc w:val="right"/>
            </w:pPr>
            <w:r/>
            <w:r>
              <w:rPr>
                <w:sz w:val="16"/>
              </w:rPr>
              <w:t>64.5%</w:t>
            </w:r>
          </w:p>
        </w:tc>
        <w:tc>
          <w:tcPr>
            <w:tcW w:type="dxa" w:w="1123"/>
          </w:tcPr>
          <w:p>
            <w:pPr>
              <w:keepNext/>
              <w:jc w:val="right"/>
            </w:pPr>
            <w:r/>
            <w:r>
              <w:rPr>
                <w:sz w:val="16"/>
              </w:rPr>
              <w:t>7.3%</w:t>
            </w:r>
          </w:p>
        </w:tc>
        <w:tc>
          <w:tcPr>
            <w:tcW w:type="dxa" w:w="1123"/>
          </w:tcPr>
          <w:p>
            <w:pPr>
              <w:keepNext/>
              <w:jc w:val="right"/>
            </w:pPr>
            <w:r/>
            <w:r>
              <w:rPr>
                <w:sz w:val="16"/>
              </w:rPr>
              <w:t>5.5%</w:t>
            </w:r>
          </w:p>
        </w:tc>
        <w:tc>
          <w:tcPr>
            <w:tcW w:type="dxa" w:w="1123"/>
          </w:tcPr>
          <w:p>
            <w:pPr>
              <w:keepNext/>
              <w:jc w:val="right"/>
            </w:pPr>
            <w:r/>
            <w:r>
              <w:rPr>
                <w:sz w:val="16"/>
              </w:rPr>
              <w:t>6.1%</w:t>
            </w:r>
          </w:p>
        </w:tc>
        <w:tc>
          <w:tcPr>
            <w:tcW w:type="dxa" w:w="1123"/>
          </w:tcPr>
          <w:p>
            <w:pPr>
              <w:keepNext/>
              <w:jc w:val="right"/>
            </w:pPr>
            <w:r/>
            <w:r>
              <w:rPr>
                <w:sz w:val="16"/>
              </w:rPr>
              <w:t>8.3%</w:t>
            </w:r>
          </w:p>
        </w:tc>
        <w:tc>
          <w:tcPr>
            <w:tcW w:type="dxa" w:w="1123"/>
          </w:tcPr>
          <w:p>
            <w:pPr>
              <w:keepNext/>
              <w:jc w:val="right"/>
            </w:pPr>
            <w:r/>
            <w:r>
              <w:rPr>
                <w:sz w:val="16"/>
              </w:rPr>
              <w:t>2.3%</w:t>
            </w:r>
          </w:p>
        </w:tc>
        <w:tc>
          <w:tcPr>
            <w:tcW w:type="dxa" w:w="1123"/>
          </w:tcPr>
          <w:p>
            <w:pPr>
              <w:keepNext/>
              <w:jc w:val="right"/>
            </w:pPr>
            <w:r/>
            <w:r>
              <w:rPr>
                <w:sz w:val="16"/>
              </w:rPr>
              <w:t>5.5%</w:t>
            </w:r>
          </w:p>
        </w:tc>
        <w:tc>
          <w:tcPr>
            <w:tcW w:type="dxa" w:w="1123"/>
          </w:tcPr>
          <w:p>
            <w:pPr>
              <w:keepNext/>
              <w:jc w:val="right"/>
            </w:pPr>
            <w:r/>
            <w:r>
              <w:rPr>
                <w:sz w:val="16"/>
              </w:rPr>
              <w:t>0.2%</w:t>
            </w:r>
          </w:p>
        </w:tc>
        <w:tc>
          <w:tcPr>
            <w:tcW w:type="dxa" w:w="1123"/>
          </w:tcPr>
          <w:p>
            <w:pPr>
              <w:keepNext/>
              <w:jc w:val="right"/>
            </w:pPr>
            <w:r/>
            <w:r>
              <w:rPr>
                <w:sz w:val="16"/>
              </w:rPr>
              <w:t>0.2%</w:t>
            </w:r>
          </w:p>
        </w:tc>
        <w:tc>
          <w:tcPr>
            <w:tcW w:type="dxa" w:w="1123"/>
          </w:tcPr>
          <w:p>
            <w:pPr>
              <w:keepNext/>
              <w:jc w:val="right"/>
            </w:pPr>
            <w:r/>
            <w:r>
              <w:rPr>
                <w:sz w:val="16"/>
              </w:rPr>
              <w:t>0.1%</w:t>
            </w:r>
          </w:p>
        </w:tc>
        <w:tc>
          <w:tcPr>
            <w:tcW w:type="dxa" w:w="1123"/>
          </w:tcPr>
          <w:p>
            <w:pPr>
              <w:keepNext/>
              <w:jc w:val="right"/>
            </w:pPr>
            <w:r/>
            <w:r>
              <w:rPr>
                <w:sz w:val="16"/>
              </w:rPr>
              <w:t>0.0%</w:t>
            </w:r>
          </w:p>
        </w:tc>
      </w:tr>
      <w:tr>
        <w:tc>
          <w:tcPr>
            <w:tcW w:type="dxa" w:w="1080"/>
          </w:tcPr>
          <w:p>
            <w:pPr>
              <w:keepNext/>
            </w:pPr>
            <w:r/>
            <w:r>
              <w:rPr>
                <w:sz w:val="16"/>
              </w:rPr>
              <w:t>Dec 2025</w:t>
            </w:r>
          </w:p>
        </w:tc>
        <w:tc>
          <w:tcPr>
            <w:tcW w:type="dxa" w:w="1008"/>
          </w:tcPr>
          <w:p>
            <w:pPr>
              <w:keepNext/>
              <w:jc w:val="right"/>
            </w:pPr>
            <w:r/>
            <w:r>
              <w:rPr>
                <w:sz w:val="16"/>
              </w:rPr>
              <w:t>16.65</w:t>
            </w:r>
          </w:p>
        </w:tc>
        <w:tc>
          <w:tcPr>
            <w:tcW w:type="dxa" w:w="1123"/>
          </w:tcPr>
          <w:p>
            <w:pPr>
              <w:keepNext/>
              <w:jc w:val="right"/>
            </w:pPr>
            <w:r/>
            <w:r>
              <w:rPr>
                <w:sz w:val="16"/>
              </w:rPr>
              <w:t>60.7%</w:t>
            </w:r>
          </w:p>
        </w:tc>
        <w:tc>
          <w:tcPr>
            <w:tcW w:type="dxa" w:w="1123"/>
          </w:tcPr>
          <w:p>
            <w:pPr>
              <w:keepNext/>
              <w:jc w:val="right"/>
            </w:pPr>
            <w:r/>
            <w:r>
              <w:rPr>
                <w:sz w:val="16"/>
              </w:rPr>
              <w:t>11.3%</w:t>
            </w:r>
          </w:p>
        </w:tc>
        <w:tc>
          <w:tcPr>
            <w:tcW w:type="dxa" w:w="1123"/>
          </w:tcPr>
          <w:p>
            <w:pPr>
              <w:keepNext/>
              <w:jc w:val="right"/>
            </w:pPr>
            <w:r/>
            <w:r>
              <w:rPr>
                <w:sz w:val="16"/>
              </w:rPr>
              <w:t>4.9%</w:t>
            </w:r>
          </w:p>
        </w:tc>
        <w:tc>
          <w:tcPr>
            <w:tcW w:type="dxa" w:w="1123"/>
          </w:tcPr>
          <w:p>
            <w:pPr>
              <w:keepNext/>
              <w:jc w:val="right"/>
            </w:pPr>
            <w:r/>
            <w:r>
              <w:rPr>
                <w:sz w:val="16"/>
              </w:rPr>
              <w:t>5.5%</w:t>
            </w:r>
          </w:p>
        </w:tc>
        <w:tc>
          <w:tcPr>
            <w:tcW w:type="dxa" w:w="1123"/>
          </w:tcPr>
          <w:p>
            <w:pPr>
              <w:keepNext/>
              <w:jc w:val="right"/>
            </w:pPr>
            <w:r/>
            <w:r>
              <w:rPr>
                <w:sz w:val="16"/>
              </w:rPr>
              <w:t>13.0%</w:t>
            </w:r>
          </w:p>
        </w:tc>
        <w:tc>
          <w:tcPr>
            <w:tcW w:type="dxa" w:w="1123"/>
          </w:tcPr>
          <w:p>
            <w:pPr>
              <w:keepNext/>
              <w:jc w:val="right"/>
            </w:pPr>
            <w:r/>
            <w:r>
              <w:rPr>
                <w:sz w:val="16"/>
              </w:rPr>
              <w:t>2.2%</w:t>
            </w:r>
          </w:p>
        </w:tc>
        <w:tc>
          <w:tcPr>
            <w:tcW w:type="dxa" w:w="1123"/>
          </w:tcPr>
          <w:p>
            <w:pPr>
              <w:keepNext/>
              <w:jc w:val="right"/>
            </w:pPr>
            <w:r/>
            <w:r>
              <w:rPr>
                <w:sz w:val="16"/>
              </w:rPr>
              <w:t>1.8%</w:t>
            </w:r>
          </w:p>
        </w:tc>
        <w:tc>
          <w:tcPr>
            <w:tcW w:type="dxa" w:w="1123"/>
          </w:tcPr>
          <w:p>
            <w:pPr>
              <w:keepNext/>
              <w:jc w:val="right"/>
            </w:pPr>
            <w:r/>
            <w:r>
              <w:rPr>
                <w:sz w:val="16"/>
              </w:rPr>
              <w:t>0.3%</w:t>
            </w:r>
          </w:p>
        </w:tc>
        <w:tc>
          <w:tcPr>
            <w:tcW w:type="dxa" w:w="1123"/>
          </w:tcPr>
          <w:p>
            <w:pPr>
              <w:keepNext/>
              <w:jc w:val="right"/>
            </w:pPr>
            <w:r/>
            <w:r>
              <w:rPr>
                <w:sz w:val="16"/>
              </w:rPr>
              <w:t>0.2%</w:t>
            </w:r>
          </w:p>
        </w:tc>
        <w:tc>
          <w:tcPr>
            <w:tcW w:type="dxa" w:w="1123"/>
          </w:tcPr>
          <w:p>
            <w:pPr>
              <w:keepNext/>
              <w:jc w:val="right"/>
            </w:pPr>
            <w:r/>
            <w:r>
              <w:rPr>
                <w:sz w:val="16"/>
              </w:rPr>
              <w:t>0.0%</w:t>
            </w:r>
          </w:p>
        </w:tc>
        <w:tc>
          <w:tcPr>
            <w:tcW w:type="dxa" w:w="1123"/>
          </w:tcPr>
          <w:p>
            <w:pPr>
              <w:keepNext/>
              <w:jc w:val="right"/>
            </w:pPr>
            <w:r/>
            <w:r>
              <w:rPr>
                <w:sz w:val="16"/>
              </w:rPr>
              <w:t>0.0%</w:t>
            </w:r>
          </w:p>
        </w:tc>
      </w:tr>
      <w:tr>
        <w:tc>
          <w:tcPr>
            <w:tcW w:type="dxa" w:w="1080"/>
          </w:tcPr>
          <w:p>
            <w:pPr>
              <w:keepNext/>
            </w:pPr>
            <w:r/>
            <w:r>
              <w:rPr>
                <w:sz w:val="16"/>
              </w:rPr>
              <w:t>Jan 2026</w:t>
            </w:r>
          </w:p>
        </w:tc>
        <w:tc>
          <w:tcPr>
            <w:tcW w:type="dxa" w:w="1008"/>
          </w:tcPr>
          <w:p>
            <w:pPr>
              <w:keepNext/>
              <w:jc w:val="right"/>
            </w:pPr>
            <w:r/>
            <w:r>
              <w:rPr>
                <w:sz w:val="16"/>
              </w:rPr>
              <w:t>21.54</w:t>
            </w:r>
          </w:p>
        </w:tc>
        <w:tc>
          <w:tcPr>
            <w:tcW w:type="dxa" w:w="1123"/>
          </w:tcPr>
          <w:p>
            <w:pPr>
              <w:keepNext/>
              <w:jc w:val="right"/>
            </w:pPr>
            <w:r/>
            <w:r>
              <w:rPr>
                <w:sz w:val="16"/>
              </w:rPr>
              <w:t>61.1%</w:t>
            </w:r>
          </w:p>
        </w:tc>
        <w:tc>
          <w:tcPr>
            <w:tcW w:type="dxa" w:w="1123"/>
          </w:tcPr>
          <w:p>
            <w:pPr>
              <w:keepNext/>
              <w:jc w:val="right"/>
            </w:pPr>
            <w:r/>
            <w:r>
              <w:rPr>
                <w:sz w:val="16"/>
              </w:rPr>
              <w:t>13.6%</w:t>
            </w:r>
          </w:p>
        </w:tc>
        <w:tc>
          <w:tcPr>
            <w:tcW w:type="dxa" w:w="1123"/>
          </w:tcPr>
          <w:p>
            <w:pPr>
              <w:keepNext/>
              <w:jc w:val="right"/>
            </w:pPr>
            <w:r/>
            <w:r>
              <w:rPr>
                <w:sz w:val="16"/>
              </w:rPr>
              <w:t>5.3%</w:t>
            </w:r>
          </w:p>
        </w:tc>
        <w:tc>
          <w:tcPr>
            <w:tcW w:type="dxa" w:w="1123"/>
          </w:tcPr>
          <w:p>
            <w:pPr>
              <w:keepNext/>
              <w:jc w:val="right"/>
            </w:pPr>
            <w:r/>
            <w:r>
              <w:rPr>
                <w:sz w:val="16"/>
              </w:rPr>
              <w:t>6.0%</w:t>
            </w:r>
          </w:p>
        </w:tc>
        <w:tc>
          <w:tcPr>
            <w:tcW w:type="dxa" w:w="1123"/>
          </w:tcPr>
          <w:p>
            <w:pPr>
              <w:keepNext/>
              <w:jc w:val="right"/>
            </w:pPr>
            <w:r/>
            <w:r>
              <w:rPr>
                <w:sz w:val="16"/>
              </w:rPr>
              <w:t>11.6%</w:t>
            </w:r>
          </w:p>
        </w:tc>
        <w:tc>
          <w:tcPr>
            <w:tcW w:type="dxa" w:w="1123"/>
          </w:tcPr>
          <w:p>
            <w:pPr>
              <w:keepNext/>
              <w:jc w:val="right"/>
            </w:pPr>
            <w:r/>
            <w:r>
              <w:rPr>
                <w:sz w:val="16"/>
              </w:rPr>
              <w:t>1.9%</w:t>
            </w:r>
          </w:p>
        </w:tc>
        <w:tc>
          <w:tcPr>
            <w:tcW w:type="dxa" w:w="1123"/>
          </w:tcPr>
          <w:p>
            <w:pPr>
              <w:keepNext/>
              <w:jc w:val="right"/>
            </w:pPr>
            <w:r/>
            <w:r>
              <w:rPr>
                <w:sz w:val="16"/>
              </w:rPr>
              <w:t>0.0%</w:t>
            </w:r>
          </w:p>
        </w:tc>
        <w:tc>
          <w:tcPr>
            <w:tcW w:type="dxa" w:w="1123"/>
          </w:tcPr>
          <w:p>
            <w:pPr>
              <w:keepNext/>
              <w:jc w:val="right"/>
            </w:pPr>
            <w:r/>
            <w:r>
              <w:rPr>
                <w:sz w:val="16"/>
              </w:rPr>
              <w:t>0.4%</w:t>
            </w:r>
          </w:p>
        </w:tc>
        <w:tc>
          <w:tcPr>
            <w:tcW w:type="dxa" w:w="1123"/>
          </w:tcPr>
          <w:p>
            <w:pPr>
              <w:keepNext/>
              <w:jc w:val="right"/>
            </w:pPr>
            <w:r/>
            <w:r>
              <w:rPr>
                <w:sz w:val="16"/>
              </w:rPr>
              <w:t>0.1%</w:t>
            </w:r>
          </w:p>
        </w:tc>
        <w:tc>
          <w:tcPr>
            <w:tcW w:type="dxa" w:w="1123"/>
          </w:tcPr>
          <w:p>
            <w:pPr>
              <w:keepNext/>
              <w:jc w:val="right"/>
            </w:pPr>
            <w:r/>
            <w:r>
              <w:rPr>
                <w:sz w:val="16"/>
              </w:rPr>
              <w:t>0.0%</w:t>
            </w:r>
          </w:p>
        </w:tc>
        <w:tc>
          <w:tcPr>
            <w:tcW w:type="dxa" w:w="1123"/>
          </w:tcPr>
          <w:p>
            <w:pPr>
              <w:keepNext/>
              <w:jc w:val="right"/>
            </w:pPr>
            <w:r/>
            <w:r>
              <w:rPr>
                <w:sz w:val="16"/>
              </w:rPr>
              <w:t>0.0%</w:t>
            </w:r>
          </w:p>
        </w:tc>
      </w:tr>
      <w:tr>
        <w:tc>
          <w:tcPr>
            <w:tcW w:type="dxa" w:w="1080"/>
          </w:tcPr>
          <w:p>
            <w:pPr>
              <w:keepNext/>
            </w:pPr>
            <w:r/>
            <w:r>
              <w:rPr>
                <w:sz w:val="16"/>
              </w:rPr>
              <w:t>Feb 2026</w:t>
            </w:r>
          </w:p>
        </w:tc>
        <w:tc>
          <w:tcPr>
            <w:tcW w:type="dxa" w:w="1008"/>
          </w:tcPr>
          <w:p>
            <w:pPr>
              <w:keepNext/>
              <w:jc w:val="right"/>
            </w:pPr>
            <w:r/>
            <w:r>
              <w:rPr>
                <w:sz w:val="16"/>
              </w:rPr>
              <w:t>22.74</w:t>
            </w:r>
          </w:p>
        </w:tc>
        <w:tc>
          <w:tcPr>
            <w:tcW w:type="dxa" w:w="1123"/>
          </w:tcPr>
          <w:p>
            <w:pPr>
              <w:keepNext/>
              <w:jc w:val="right"/>
            </w:pPr>
            <w:r/>
            <w:r>
              <w:rPr>
                <w:sz w:val="16"/>
              </w:rPr>
              <w:t>62.9%</w:t>
            </w:r>
          </w:p>
        </w:tc>
        <w:tc>
          <w:tcPr>
            <w:tcW w:type="dxa" w:w="1123"/>
          </w:tcPr>
          <w:p>
            <w:pPr>
              <w:keepNext/>
              <w:jc w:val="right"/>
            </w:pPr>
            <w:r/>
            <w:r>
              <w:rPr>
                <w:sz w:val="16"/>
              </w:rPr>
              <w:t>13.8%</w:t>
            </w:r>
          </w:p>
        </w:tc>
        <w:tc>
          <w:tcPr>
            <w:tcW w:type="dxa" w:w="1123"/>
          </w:tcPr>
          <w:p>
            <w:pPr>
              <w:keepNext/>
              <w:jc w:val="right"/>
            </w:pPr>
            <w:r/>
            <w:r>
              <w:rPr>
                <w:sz w:val="16"/>
              </w:rPr>
              <w:t>5.6%</w:t>
            </w:r>
          </w:p>
        </w:tc>
        <w:tc>
          <w:tcPr>
            <w:tcW w:type="dxa" w:w="1123"/>
          </w:tcPr>
          <w:p>
            <w:pPr>
              <w:keepNext/>
              <w:jc w:val="right"/>
            </w:pPr>
            <w:r/>
            <w:r>
              <w:rPr>
                <w:sz w:val="16"/>
              </w:rPr>
              <w:t>5.8%</w:t>
            </w:r>
          </w:p>
        </w:tc>
        <w:tc>
          <w:tcPr>
            <w:tcW w:type="dxa" w:w="1123"/>
          </w:tcPr>
          <w:p>
            <w:pPr>
              <w:keepNext/>
              <w:jc w:val="right"/>
            </w:pPr>
            <w:r/>
            <w:r>
              <w:rPr>
                <w:sz w:val="16"/>
              </w:rPr>
              <w:t>7.9%</w:t>
            </w:r>
          </w:p>
        </w:tc>
        <w:tc>
          <w:tcPr>
            <w:tcW w:type="dxa" w:w="1123"/>
          </w:tcPr>
          <w:p>
            <w:pPr>
              <w:keepNext/>
              <w:jc w:val="right"/>
            </w:pPr>
            <w:r/>
            <w:r>
              <w:rPr>
                <w:sz w:val="16"/>
              </w:rPr>
              <w:t>2.3%</w:t>
            </w:r>
          </w:p>
        </w:tc>
        <w:tc>
          <w:tcPr>
            <w:tcW w:type="dxa" w:w="1123"/>
          </w:tcPr>
          <w:p>
            <w:pPr>
              <w:keepNext/>
              <w:jc w:val="right"/>
            </w:pPr>
            <w:r/>
            <w:r>
              <w:rPr>
                <w:sz w:val="16"/>
              </w:rPr>
              <w:t>1.1%</w:t>
            </w:r>
          </w:p>
        </w:tc>
        <w:tc>
          <w:tcPr>
            <w:tcW w:type="dxa" w:w="1123"/>
          </w:tcPr>
          <w:p>
            <w:pPr>
              <w:keepNext/>
              <w:jc w:val="right"/>
            </w:pPr>
            <w:r/>
            <w:r>
              <w:rPr>
                <w:sz w:val="16"/>
              </w:rPr>
              <w:t>0.4%</w:t>
            </w:r>
          </w:p>
        </w:tc>
        <w:tc>
          <w:tcPr>
            <w:tcW w:type="dxa" w:w="1123"/>
          </w:tcPr>
          <w:p>
            <w:pPr>
              <w:keepNext/>
              <w:jc w:val="right"/>
            </w:pPr>
            <w:r/>
            <w:r>
              <w:rPr>
                <w:sz w:val="16"/>
              </w:rPr>
              <w:t>0.1%</w:t>
            </w:r>
          </w:p>
        </w:tc>
        <w:tc>
          <w:tcPr>
            <w:tcW w:type="dxa" w:w="1123"/>
          </w:tcPr>
          <w:p>
            <w:pPr>
              <w:keepNext/>
              <w:jc w:val="right"/>
            </w:pPr>
            <w:r/>
            <w:r>
              <w:rPr>
                <w:sz w:val="16"/>
              </w:rPr>
              <w:t>0.1%</w:t>
            </w:r>
          </w:p>
        </w:tc>
        <w:tc>
          <w:tcPr>
            <w:tcW w:type="dxa" w:w="1123"/>
          </w:tcPr>
          <w:p>
            <w:pPr>
              <w:keepNext/>
              <w:jc w:val="right"/>
            </w:pPr>
            <w:r/>
            <w:r>
              <w:rPr>
                <w:sz w:val="16"/>
              </w:rPr>
              <w:t>0.0%</w:t>
            </w:r>
          </w:p>
        </w:tc>
      </w:tr>
      <w:tr>
        <w:tc>
          <w:tcPr>
            <w:tcW w:type="dxa" w:w="1080"/>
          </w:tcPr>
          <w:p>
            <w:pPr>
              <w:keepNext/>
            </w:pPr>
            <w:r/>
            <w:r>
              <w:rPr>
                <w:sz w:val="16"/>
              </w:rPr>
              <w:t>Mar 2026</w:t>
            </w:r>
          </w:p>
        </w:tc>
        <w:tc>
          <w:tcPr>
            <w:tcW w:type="dxa" w:w="1008"/>
          </w:tcPr>
          <w:p>
            <w:pPr>
              <w:keepNext/>
              <w:jc w:val="right"/>
            </w:pPr>
            <w:r/>
            <w:r>
              <w:rPr>
                <w:sz w:val="16"/>
              </w:rPr>
              <w:t>26.03</w:t>
            </w:r>
          </w:p>
        </w:tc>
        <w:tc>
          <w:tcPr>
            <w:tcW w:type="dxa" w:w="1123"/>
          </w:tcPr>
          <w:p>
            <w:pPr>
              <w:keepNext/>
              <w:jc w:val="right"/>
            </w:pPr>
            <w:r/>
            <w:r>
              <w:rPr>
                <w:sz w:val="16"/>
              </w:rPr>
              <w:t>59.8%</w:t>
            </w:r>
          </w:p>
        </w:tc>
        <w:tc>
          <w:tcPr>
            <w:tcW w:type="dxa" w:w="1123"/>
          </w:tcPr>
          <w:p>
            <w:pPr>
              <w:keepNext/>
              <w:jc w:val="right"/>
            </w:pPr>
            <w:r/>
            <w:r>
              <w:rPr>
                <w:sz w:val="16"/>
              </w:rPr>
              <w:t>16.5%</w:t>
            </w:r>
          </w:p>
        </w:tc>
        <w:tc>
          <w:tcPr>
            <w:tcW w:type="dxa" w:w="1123"/>
          </w:tcPr>
          <w:p>
            <w:pPr>
              <w:keepNext/>
              <w:jc w:val="right"/>
            </w:pPr>
            <w:r/>
            <w:r>
              <w:rPr>
                <w:sz w:val="16"/>
              </w:rPr>
              <w:t>6.6%</w:t>
            </w:r>
          </w:p>
        </w:tc>
        <w:tc>
          <w:tcPr>
            <w:tcW w:type="dxa" w:w="1123"/>
          </w:tcPr>
          <w:p>
            <w:pPr>
              <w:keepNext/>
              <w:jc w:val="right"/>
            </w:pPr>
            <w:r/>
            <w:r>
              <w:rPr>
                <w:sz w:val="16"/>
              </w:rPr>
              <w:t>5.4%</w:t>
            </w:r>
          </w:p>
        </w:tc>
        <w:tc>
          <w:tcPr>
            <w:tcW w:type="dxa" w:w="1123"/>
          </w:tcPr>
          <w:p>
            <w:pPr>
              <w:keepNext/>
              <w:jc w:val="right"/>
            </w:pPr>
            <w:r/>
            <w:r>
              <w:rPr>
                <w:sz w:val="16"/>
              </w:rPr>
              <w:t>8.6%</w:t>
            </w:r>
          </w:p>
        </w:tc>
        <w:tc>
          <w:tcPr>
            <w:tcW w:type="dxa" w:w="1123"/>
          </w:tcPr>
          <w:p>
            <w:pPr>
              <w:keepNext/>
              <w:jc w:val="right"/>
            </w:pPr>
            <w:r/>
            <w:r>
              <w:rPr>
                <w:sz w:val="16"/>
              </w:rPr>
              <w:t>1.7%</w:t>
            </w:r>
          </w:p>
        </w:tc>
        <w:tc>
          <w:tcPr>
            <w:tcW w:type="dxa" w:w="1123"/>
          </w:tcPr>
          <w:p>
            <w:pPr>
              <w:keepNext/>
              <w:jc w:val="right"/>
            </w:pPr>
            <w:r/>
            <w:r>
              <w:rPr>
                <w:sz w:val="16"/>
              </w:rPr>
              <w:t>0.5%</w:t>
            </w:r>
          </w:p>
        </w:tc>
        <w:tc>
          <w:tcPr>
            <w:tcW w:type="dxa" w:w="1123"/>
          </w:tcPr>
          <w:p>
            <w:pPr>
              <w:keepNext/>
              <w:jc w:val="right"/>
            </w:pPr>
            <w:r/>
            <w:r>
              <w:rPr>
                <w:sz w:val="16"/>
              </w:rPr>
              <w:t>0.5%</w:t>
            </w:r>
          </w:p>
        </w:tc>
        <w:tc>
          <w:tcPr>
            <w:tcW w:type="dxa" w:w="1123"/>
          </w:tcPr>
          <w:p>
            <w:pPr>
              <w:keepNext/>
              <w:jc w:val="right"/>
            </w:pPr>
            <w:r/>
            <w:r>
              <w:rPr>
                <w:sz w:val="16"/>
              </w:rPr>
              <w:t>0.3%</w:t>
            </w:r>
          </w:p>
        </w:tc>
        <w:tc>
          <w:tcPr>
            <w:tcW w:type="dxa" w:w="1123"/>
          </w:tcPr>
          <w:p>
            <w:pPr>
              <w:keepNext/>
              <w:jc w:val="right"/>
            </w:pPr>
            <w:r/>
            <w:r>
              <w:rPr>
                <w:sz w:val="16"/>
              </w:rPr>
              <w:t>0.0%</w:t>
            </w:r>
          </w:p>
        </w:tc>
        <w:tc>
          <w:tcPr>
            <w:tcW w:type="dxa" w:w="1123"/>
          </w:tcPr>
          <w:p>
            <w:pPr>
              <w:keepNext/>
              <w:jc w:val="right"/>
            </w:pPr>
            <w:r/>
            <w:r>
              <w:rPr>
                <w:sz w:val="16"/>
              </w:rPr>
              <w:t>0.0%</w:t>
            </w:r>
          </w:p>
        </w:tc>
      </w:tr>
      <w:tr>
        <w:tc>
          <w:tcPr>
            <w:tcW w:type="dxa" w:w="1080"/>
          </w:tcPr>
          <w:p>
            <w:pPr>
              <w:keepNext/>
            </w:pPr>
            <w:r/>
            <w:r>
              <w:rPr>
                <w:sz w:val="16"/>
              </w:rPr>
              <w:t>Apr 2026</w:t>
            </w:r>
          </w:p>
        </w:tc>
        <w:tc>
          <w:tcPr>
            <w:tcW w:type="dxa" w:w="1008"/>
          </w:tcPr>
          <w:p>
            <w:pPr>
              <w:keepNext/>
              <w:jc w:val="right"/>
            </w:pPr>
            <w:r/>
            <w:r>
              <w:rPr>
                <w:sz w:val="16"/>
              </w:rPr>
              <w:t>25.73</w:t>
            </w:r>
          </w:p>
        </w:tc>
        <w:tc>
          <w:tcPr>
            <w:tcW w:type="dxa" w:w="1123"/>
          </w:tcPr>
          <w:p>
            <w:pPr>
              <w:keepNext/>
              <w:jc w:val="right"/>
            </w:pPr>
            <w:r/>
            <w:r>
              <w:rPr>
                <w:sz w:val="16"/>
              </w:rPr>
              <w:t>66.0%</w:t>
            </w:r>
          </w:p>
        </w:tc>
        <w:tc>
          <w:tcPr>
            <w:tcW w:type="dxa" w:w="1123"/>
          </w:tcPr>
          <w:p>
            <w:pPr>
              <w:keepNext/>
              <w:jc w:val="right"/>
            </w:pPr>
            <w:r/>
            <w:r>
              <w:rPr>
                <w:sz w:val="16"/>
              </w:rPr>
              <w:t>16.1%</w:t>
            </w:r>
          </w:p>
        </w:tc>
        <w:tc>
          <w:tcPr>
            <w:tcW w:type="dxa" w:w="1123"/>
          </w:tcPr>
          <w:p>
            <w:pPr>
              <w:keepNext/>
              <w:jc w:val="right"/>
            </w:pPr>
            <w:r/>
            <w:r>
              <w:rPr>
                <w:sz w:val="16"/>
              </w:rPr>
              <w:t>6.4%</w:t>
            </w:r>
          </w:p>
        </w:tc>
        <w:tc>
          <w:tcPr>
            <w:tcW w:type="dxa" w:w="1123"/>
          </w:tcPr>
          <w:p>
            <w:pPr>
              <w:keepNext/>
              <w:jc w:val="right"/>
            </w:pPr>
            <w:r/>
            <w:r>
              <w:rPr>
                <w:sz w:val="16"/>
              </w:rPr>
              <w:t>5.0%</w:t>
            </w:r>
          </w:p>
        </w:tc>
        <w:tc>
          <w:tcPr>
            <w:tcW w:type="dxa" w:w="1123"/>
          </w:tcPr>
          <w:p>
            <w:pPr>
              <w:keepNext/>
              <w:jc w:val="right"/>
            </w:pPr>
            <w:r/>
            <w:r>
              <w:rPr>
                <w:sz w:val="16"/>
              </w:rPr>
              <w:t>3.8%</w:t>
            </w:r>
          </w:p>
        </w:tc>
        <w:tc>
          <w:tcPr>
            <w:tcW w:type="dxa" w:w="1123"/>
          </w:tcPr>
          <w:p>
            <w:pPr>
              <w:keepNext/>
              <w:jc w:val="right"/>
            </w:pPr>
            <w:r/>
            <w:r>
              <w:rPr>
                <w:sz w:val="16"/>
              </w:rPr>
              <w:t>1.9%</w:t>
            </w:r>
          </w:p>
        </w:tc>
        <w:tc>
          <w:tcPr>
            <w:tcW w:type="dxa" w:w="1123"/>
          </w:tcPr>
          <w:p>
            <w:pPr>
              <w:keepNext/>
              <w:jc w:val="right"/>
            </w:pPr>
            <w:r/>
            <w:r>
              <w:rPr>
                <w:sz w:val="16"/>
              </w:rPr>
              <w:t>0.0%</w:t>
            </w:r>
          </w:p>
        </w:tc>
        <w:tc>
          <w:tcPr>
            <w:tcW w:type="dxa" w:w="1123"/>
          </w:tcPr>
          <w:p>
            <w:pPr>
              <w:keepNext/>
              <w:jc w:val="right"/>
            </w:pPr>
            <w:r/>
            <w:r>
              <w:rPr>
                <w:sz w:val="16"/>
              </w:rPr>
              <w:t>0.5%</w:t>
            </w:r>
          </w:p>
        </w:tc>
        <w:tc>
          <w:tcPr>
            <w:tcW w:type="dxa" w:w="1123"/>
          </w:tcPr>
          <w:p>
            <w:pPr>
              <w:keepNext/>
              <w:jc w:val="right"/>
            </w:pPr>
            <w:r/>
            <w:r>
              <w:rPr>
                <w:sz w:val="16"/>
              </w:rPr>
              <w:t>0.3%</w:t>
            </w:r>
          </w:p>
        </w:tc>
        <w:tc>
          <w:tcPr>
            <w:tcW w:type="dxa" w:w="1123"/>
          </w:tcPr>
          <w:p>
            <w:pPr>
              <w:keepNext/>
              <w:jc w:val="right"/>
            </w:pPr>
            <w:r/>
            <w:r>
              <w:rPr>
                <w:sz w:val="16"/>
              </w:rPr>
              <w:t>0.1%</w:t>
            </w:r>
          </w:p>
        </w:tc>
        <w:tc>
          <w:tcPr>
            <w:tcW w:type="dxa" w:w="1123"/>
          </w:tcPr>
          <w:p>
            <w:pPr>
              <w:keepNext/>
              <w:jc w:val="right"/>
            </w:pPr>
            <w:r/>
            <w:r>
              <w:rPr>
                <w:sz w:val="16"/>
              </w:rPr>
              <w:t>0.0%</w:t>
            </w:r>
          </w:p>
        </w:tc>
      </w:tr>
      <w:tr>
        <w:tc>
          <w:tcPr>
            <w:tcW w:type="dxa" w:w="1080"/>
          </w:tcPr>
          <w:p>
            <w:pPr>
              <w:keepNext/>
            </w:pPr>
            <w:r/>
            <w:r>
              <w:rPr>
                <w:sz w:val="16"/>
              </w:rPr>
              <w:t>May 2026</w:t>
            </w:r>
          </w:p>
        </w:tc>
        <w:tc>
          <w:tcPr>
            <w:tcW w:type="dxa" w:w="1008"/>
          </w:tcPr>
          <w:p>
            <w:pPr>
              <w:keepNext/>
              <w:jc w:val="right"/>
            </w:pPr>
            <w:r/>
            <w:r>
              <w:rPr>
                <w:sz w:val="16"/>
              </w:rPr>
              <w:t>21.16</w:t>
            </w:r>
          </w:p>
        </w:tc>
        <w:tc>
          <w:tcPr>
            <w:tcW w:type="dxa" w:w="1123"/>
          </w:tcPr>
          <w:p>
            <w:pPr>
              <w:keepNext/>
              <w:jc w:val="right"/>
            </w:pPr>
            <w:r/>
            <w:r>
              <w:rPr>
                <w:sz w:val="16"/>
              </w:rPr>
              <w:t>66.1%</w:t>
            </w:r>
          </w:p>
        </w:tc>
        <w:tc>
          <w:tcPr>
            <w:tcW w:type="dxa" w:w="1123"/>
          </w:tcPr>
          <w:p>
            <w:pPr>
              <w:keepNext/>
              <w:jc w:val="right"/>
            </w:pPr>
            <w:r/>
            <w:r>
              <w:rPr>
                <w:sz w:val="16"/>
              </w:rPr>
              <w:t>16.0%</w:t>
            </w:r>
          </w:p>
        </w:tc>
        <w:tc>
          <w:tcPr>
            <w:tcW w:type="dxa" w:w="1123"/>
          </w:tcPr>
          <w:p>
            <w:pPr>
              <w:keepNext/>
              <w:jc w:val="right"/>
            </w:pPr>
            <w:r/>
            <w:r>
              <w:rPr>
                <w:sz w:val="16"/>
              </w:rPr>
              <w:t>6.1%</w:t>
            </w:r>
          </w:p>
        </w:tc>
        <w:tc>
          <w:tcPr>
            <w:tcW w:type="dxa" w:w="1123"/>
          </w:tcPr>
          <w:p>
            <w:pPr>
              <w:keepNext/>
              <w:jc w:val="right"/>
            </w:pPr>
            <w:r/>
            <w:r>
              <w:rPr>
                <w:sz w:val="16"/>
              </w:rPr>
              <w:t>5.7%</w:t>
            </w:r>
          </w:p>
        </w:tc>
        <w:tc>
          <w:tcPr>
            <w:tcW w:type="dxa" w:w="1123"/>
          </w:tcPr>
          <w:p>
            <w:pPr>
              <w:keepNext/>
              <w:jc w:val="right"/>
            </w:pPr>
            <w:r/>
            <w:r>
              <w:rPr>
                <w:sz w:val="16"/>
              </w:rPr>
              <w:t>0.0%</w:t>
            </w:r>
          </w:p>
        </w:tc>
        <w:tc>
          <w:tcPr>
            <w:tcW w:type="dxa" w:w="1123"/>
          </w:tcPr>
          <w:p>
            <w:pPr>
              <w:keepNext/>
              <w:jc w:val="right"/>
            </w:pPr>
            <w:r/>
            <w:r>
              <w:rPr>
                <w:sz w:val="16"/>
              </w:rPr>
              <w:t>1.2%</w:t>
            </w:r>
          </w:p>
        </w:tc>
        <w:tc>
          <w:tcPr>
            <w:tcW w:type="dxa" w:w="1123"/>
          </w:tcPr>
          <w:p>
            <w:pPr>
              <w:keepNext/>
              <w:jc w:val="right"/>
            </w:pPr>
            <w:r/>
            <w:r>
              <w:rPr>
                <w:sz w:val="16"/>
              </w:rPr>
              <w:t>4.1%</w:t>
            </w:r>
          </w:p>
        </w:tc>
        <w:tc>
          <w:tcPr>
            <w:tcW w:type="dxa" w:w="1123"/>
          </w:tcPr>
          <w:p>
            <w:pPr>
              <w:keepNext/>
              <w:jc w:val="right"/>
            </w:pPr>
            <w:r/>
            <w:r>
              <w:rPr>
                <w:sz w:val="16"/>
              </w:rPr>
              <w:t>0.5%</w:t>
            </w:r>
          </w:p>
        </w:tc>
        <w:tc>
          <w:tcPr>
            <w:tcW w:type="dxa" w:w="1123"/>
          </w:tcPr>
          <w:p>
            <w:pPr>
              <w:keepNext/>
              <w:jc w:val="right"/>
            </w:pPr>
            <w:r/>
            <w:r>
              <w:rPr>
                <w:sz w:val="16"/>
              </w:rPr>
              <w:t>0.3%</w:t>
            </w:r>
          </w:p>
        </w:tc>
        <w:tc>
          <w:tcPr>
            <w:tcW w:type="dxa" w:w="1123"/>
          </w:tcPr>
          <w:p>
            <w:pPr>
              <w:keepNext/>
              <w:jc w:val="right"/>
            </w:pPr>
            <w:r/>
            <w:r>
              <w:rPr>
                <w:sz w:val="16"/>
              </w:rPr>
              <w:t>0.1%</w:t>
            </w:r>
          </w:p>
        </w:tc>
        <w:tc>
          <w:tcPr>
            <w:tcW w:type="dxa" w:w="1123"/>
          </w:tcPr>
          <w:p>
            <w:pPr>
              <w:keepNext/>
              <w:jc w:val="right"/>
            </w:pPr>
            <w:r/>
            <w:r>
              <w:rPr>
                <w:sz w:val="16"/>
              </w:rPr>
              <w:t>0.0%</w:t>
            </w:r>
          </w:p>
        </w:tc>
      </w:tr>
      <w:tr>
        <w:tc>
          <w:tcPr>
            <w:tcW w:type="dxa" w:w="1080"/>
          </w:tcPr>
          <w:p>
            <w:pPr>
              <w:keepNext/>
            </w:pPr>
            <w:r/>
            <w:r>
              <w:rPr>
                <w:sz w:val="16"/>
              </w:rPr>
              <w:t>Jun 2026</w:t>
            </w:r>
          </w:p>
        </w:tc>
        <w:tc>
          <w:tcPr>
            <w:tcW w:type="dxa" w:w="1008"/>
          </w:tcPr>
          <w:p>
            <w:pPr>
              <w:keepNext/>
              <w:jc w:val="right"/>
            </w:pPr>
            <w:r/>
            <w:r>
              <w:rPr>
                <w:sz w:val="16"/>
              </w:rPr>
              <w:t>27.39</w:t>
            </w:r>
          </w:p>
        </w:tc>
        <w:tc>
          <w:tcPr>
            <w:tcW w:type="dxa" w:w="1123"/>
          </w:tcPr>
          <w:p>
            <w:pPr>
              <w:keepNext/>
              <w:jc w:val="right"/>
            </w:pPr>
            <w:r/>
            <w:r>
              <w:rPr>
                <w:sz w:val="16"/>
              </w:rPr>
              <w:t>70.5%</w:t>
            </w:r>
          </w:p>
        </w:tc>
        <w:tc>
          <w:tcPr>
            <w:tcW w:type="dxa" w:w="1123"/>
          </w:tcPr>
          <w:p>
            <w:pPr>
              <w:keepNext/>
              <w:jc w:val="right"/>
            </w:pPr>
            <w:r/>
            <w:r>
              <w:rPr>
                <w:sz w:val="16"/>
              </w:rPr>
              <w:t>10.9%</w:t>
            </w:r>
          </w:p>
        </w:tc>
        <w:tc>
          <w:tcPr>
            <w:tcW w:type="dxa" w:w="1123"/>
          </w:tcPr>
          <w:p>
            <w:pPr>
              <w:keepNext/>
              <w:jc w:val="right"/>
            </w:pPr>
            <w:r/>
            <w:r>
              <w:rPr>
                <w:sz w:val="16"/>
              </w:rPr>
              <w:t>6.2%</w:t>
            </w:r>
          </w:p>
        </w:tc>
        <w:tc>
          <w:tcPr>
            <w:tcW w:type="dxa" w:w="1123"/>
          </w:tcPr>
          <w:p>
            <w:pPr>
              <w:keepNext/>
              <w:jc w:val="right"/>
            </w:pPr>
            <w:r/>
            <w:r>
              <w:rPr>
                <w:sz w:val="16"/>
              </w:rPr>
              <w:t>4.7%</w:t>
            </w:r>
          </w:p>
        </w:tc>
        <w:tc>
          <w:tcPr>
            <w:tcW w:type="dxa" w:w="1123"/>
          </w:tcPr>
          <w:p>
            <w:pPr>
              <w:keepNext/>
              <w:jc w:val="right"/>
            </w:pPr>
            <w:r/>
            <w:r>
              <w:rPr>
                <w:sz w:val="16"/>
              </w:rPr>
              <w:t>5.4%</w:t>
            </w:r>
          </w:p>
        </w:tc>
        <w:tc>
          <w:tcPr>
            <w:tcW w:type="dxa" w:w="1123"/>
          </w:tcPr>
          <w:p>
            <w:pPr>
              <w:keepNext/>
              <w:jc w:val="right"/>
            </w:pPr>
            <w:r/>
            <w:r>
              <w:rPr>
                <w:sz w:val="16"/>
              </w:rPr>
              <w:t>1.7%</w:t>
            </w:r>
          </w:p>
        </w:tc>
        <w:tc>
          <w:tcPr>
            <w:tcW w:type="dxa" w:w="1123"/>
          </w:tcPr>
          <w:p>
            <w:pPr>
              <w:keepNext/>
              <w:jc w:val="right"/>
            </w:pPr>
            <w:r/>
            <w:r>
              <w:rPr>
                <w:sz w:val="16"/>
              </w:rPr>
              <w:t>0.0%</w:t>
            </w:r>
          </w:p>
        </w:tc>
        <w:tc>
          <w:tcPr>
            <w:tcW w:type="dxa" w:w="1123"/>
          </w:tcPr>
          <w:p>
            <w:pPr>
              <w:keepNext/>
              <w:jc w:val="right"/>
            </w:pPr>
            <w:r/>
            <w:r>
              <w:rPr>
                <w:sz w:val="16"/>
              </w:rPr>
              <w:t>0.3%</w:t>
            </w:r>
          </w:p>
        </w:tc>
        <w:tc>
          <w:tcPr>
            <w:tcW w:type="dxa" w:w="1123"/>
          </w:tcPr>
          <w:p>
            <w:pPr>
              <w:keepNext/>
              <w:jc w:val="right"/>
            </w:pPr>
            <w:r/>
            <w:r>
              <w:rPr>
                <w:sz w:val="16"/>
              </w:rPr>
              <w:t>0.3%</w:t>
            </w:r>
          </w:p>
        </w:tc>
        <w:tc>
          <w:tcPr>
            <w:tcW w:type="dxa" w:w="1123"/>
          </w:tcPr>
          <w:p>
            <w:pPr>
              <w:keepNext/>
              <w:jc w:val="right"/>
            </w:pPr>
            <w:r/>
            <w:r>
              <w:rPr>
                <w:sz w:val="16"/>
              </w:rPr>
              <w:t>0.1%</w:t>
            </w:r>
          </w:p>
        </w:tc>
        <w:tc>
          <w:tcPr>
            <w:tcW w:type="dxa" w:w="1123"/>
          </w:tcPr>
          <w:p>
            <w:pPr>
              <w:keepNext/>
              <w:jc w:val="right"/>
            </w:pPr>
            <w:r/>
            <w:r>
              <w:rPr>
                <w:sz w:val="16"/>
              </w:rPr>
              <w:t>0.0%</w:t>
            </w:r>
          </w:p>
        </w:tc>
      </w:tr>
      <w:tr>
        <w:tc>
          <w:tcPr>
            <w:tcW w:type="dxa" w:w="1080"/>
            <w:shd w:val="clear" w:color="auto" w:fill="F2F2F2"/>
          </w:tcPr>
          <w:p>
            <w:r/>
            <w:r>
              <w:rPr>
                <w:b/>
                <w:sz w:val="16"/>
              </w:rPr>
              <w:t>Pooled</w:t>
            </w:r>
          </w:p>
        </w:tc>
        <w:tc>
          <w:tcPr>
            <w:tcW w:type="dxa" w:w="1008"/>
            <w:shd w:val="clear" w:color="auto" w:fill="F2F2F2"/>
          </w:tcPr>
          <w:p>
            <w:pPr>
              <w:jc w:val="right"/>
            </w:pPr>
            <w:r/>
            <w:r>
              <w:rPr>
                <w:b/>
                <w:sz w:val="16"/>
              </w:rPr>
              <w:t>510.26</w:t>
            </w:r>
          </w:p>
        </w:tc>
        <w:tc>
          <w:tcPr>
            <w:tcW w:type="dxa" w:w="1123"/>
            <w:shd w:val="clear" w:color="auto" w:fill="F2F2F2"/>
          </w:tcPr>
          <w:p>
            <w:pPr>
              <w:jc w:val="right"/>
            </w:pPr>
            <w:r/>
            <w:r>
              <w:rPr>
                <w:b/>
                <w:sz w:val="16"/>
              </w:rPr>
              <w:t>61.0%</w:t>
            </w:r>
          </w:p>
        </w:tc>
        <w:tc>
          <w:tcPr>
            <w:tcW w:type="dxa" w:w="1123"/>
            <w:shd w:val="clear" w:color="auto" w:fill="F2F2F2"/>
          </w:tcPr>
          <w:p>
            <w:pPr>
              <w:jc w:val="right"/>
            </w:pPr>
            <w:r/>
            <w:r>
              <w:rPr>
                <w:b/>
                <w:sz w:val="16"/>
              </w:rPr>
              <w:t>15.8%</w:t>
            </w:r>
          </w:p>
        </w:tc>
        <w:tc>
          <w:tcPr>
            <w:tcW w:type="dxa" w:w="1123"/>
            <w:shd w:val="clear" w:color="auto" w:fill="F2F2F2"/>
          </w:tcPr>
          <w:p>
            <w:pPr>
              <w:jc w:val="right"/>
            </w:pPr>
            <w:r/>
            <w:r>
              <w:rPr>
                <w:b/>
                <w:sz w:val="16"/>
              </w:rPr>
              <w:t>8.6%</w:t>
            </w:r>
          </w:p>
        </w:tc>
        <w:tc>
          <w:tcPr>
            <w:tcW w:type="dxa" w:w="1123"/>
            <w:shd w:val="clear" w:color="auto" w:fill="F2F2F2"/>
          </w:tcPr>
          <w:p>
            <w:pPr>
              <w:jc w:val="right"/>
            </w:pPr>
            <w:r/>
            <w:r>
              <w:rPr>
                <w:b/>
                <w:sz w:val="16"/>
              </w:rPr>
              <w:t>5.9%</w:t>
            </w:r>
          </w:p>
        </w:tc>
        <w:tc>
          <w:tcPr>
            <w:tcW w:type="dxa" w:w="1123"/>
            <w:shd w:val="clear" w:color="auto" w:fill="F2F2F2"/>
          </w:tcPr>
          <w:p>
            <w:pPr>
              <w:jc w:val="right"/>
            </w:pPr>
            <w:r/>
            <w:r>
              <w:rPr>
                <w:b/>
                <w:sz w:val="16"/>
              </w:rPr>
              <w:t>4.5%</w:t>
            </w:r>
          </w:p>
        </w:tc>
        <w:tc>
          <w:tcPr>
            <w:tcW w:type="dxa" w:w="1123"/>
            <w:shd w:val="clear" w:color="auto" w:fill="F2F2F2"/>
          </w:tcPr>
          <w:p>
            <w:pPr>
              <w:jc w:val="right"/>
            </w:pPr>
            <w:r/>
            <w:r>
              <w:rPr>
                <w:b/>
                <w:sz w:val="16"/>
              </w:rPr>
              <w:t>2.1%</w:t>
            </w:r>
          </w:p>
        </w:tc>
        <w:tc>
          <w:tcPr>
            <w:tcW w:type="dxa" w:w="1123"/>
            <w:shd w:val="clear" w:color="auto" w:fill="F2F2F2"/>
          </w:tcPr>
          <w:p>
            <w:pPr>
              <w:jc w:val="right"/>
            </w:pPr>
            <w:r/>
            <w:r>
              <w:rPr>
                <w:b/>
                <w:sz w:val="16"/>
              </w:rPr>
              <w:t>1.1%</w:t>
            </w:r>
          </w:p>
        </w:tc>
        <w:tc>
          <w:tcPr>
            <w:tcW w:type="dxa" w:w="1123"/>
            <w:shd w:val="clear" w:color="auto" w:fill="F2F2F2"/>
          </w:tcPr>
          <w:p>
            <w:pPr>
              <w:jc w:val="right"/>
            </w:pPr>
            <w:r/>
            <w:r>
              <w:rPr>
                <w:b/>
                <w:sz w:val="16"/>
              </w:rPr>
              <w:t>0.6%</w:t>
            </w:r>
          </w:p>
        </w:tc>
        <w:tc>
          <w:tcPr>
            <w:tcW w:type="dxa" w:w="1123"/>
            <w:shd w:val="clear" w:color="auto" w:fill="F2F2F2"/>
          </w:tcPr>
          <w:p>
            <w:pPr>
              <w:jc w:val="right"/>
            </w:pPr>
            <w:r/>
            <w:r>
              <w:rPr>
                <w:b/>
                <w:sz w:val="16"/>
              </w:rPr>
              <w:t>0.2%</w:t>
            </w:r>
          </w:p>
        </w:tc>
        <w:tc>
          <w:tcPr>
            <w:tcW w:type="dxa" w:w="1123"/>
            <w:shd w:val="clear" w:color="auto" w:fill="F2F2F2"/>
          </w:tcPr>
          <w:p>
            <w:pPr>
              <w:jc w:val="right"/>
            </w:pPr>
            <w:r/>
            <w:r>
              <w:rPr>
                <w:b/>
                <w:sz w:val="16"/>
              </w:rPr>
              <w:t>0.1%</w:t>
            </w:r>
          </w:p>
        </w:tc>
        <w:tc>
          <w:tcPr>
            <w:tcW w:type="dxa" w:w="1123"/>
            <w:shd w:val="clear" w:color="auto" w:fill="F2F2F2"/>
          </w:tcPr>
          <w:p>
            <w:pPr>
              <w:jc w:val="right"/>
            </w:pPr>
            <w:r/>
            <w:r>
              <w:rPr>
                <w:b/>
                <w:sz w:val="16"/>
              </w:rPr>
              <w:t>0.0%</w:t>
            </w:r>
          </w:p>
        </w:tc>
      </w:tr>
    </w:tbl>
    <w:sectPr w:rsidR="00FC693F" w:rsidRPr="0006063C" w:rsidSect="00034616">
      <w:pgSz w:w="15840" w:h="12240" w:orient="landscape"/>
      <w:pgMar w:top="1152" w:right="864" w:bottom="115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