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35DEA" w14:textId="0D8689EF" w:rsidR="00DB6E33" w:rsidRDefault="00000000">
      <w:pPr>
        <w:pStyle w:val="Title"/>
      </w:pPr>
      <w:proofErr w:type="spellStart"/>
      <w:r>
        <w:t xml:space="preserve">Buffer </w:t>
      </w:r>
      <w:proofErr w:type="spellEnd"/>
      <w:r>
        <w:t>Pool Reduction — Technical Justification Framework</w:t>
      </w:r>
    </w:p>
    <w:p w14:paraId="5326BC76" w14:textId="77777777" w:rsidR="00DB6E33" w:rsidRDefault="00000000">
      <w:r>
        <w:rPr>
          <w:b/>
        </w:rPr>
        <w:t>INTERNAL WORKING DRAFT · MRV / Development / Commercial</w:t>
      </w:r>
      <w:r>
        <w:rPr>
          <w:b/>
        </w:rPr>
        <w:br/>
      </w:r>
      <w:r>
        <w:t>Date: September 13, 2026</w:t>
      </w:r>
      <w:r>
        <w:br/>
        <w:t>Author: Max Lavine</w:t>
      </w:r>
      <w:r>
        <w:br/>
        <w:t>For: Casey Korejwo, Jen Anderson, Garrett Lutz, Andrew Thomas, Taniya Kar</w:t>
      </w:r>
      <w:r>
        <w:br/>
        <w:t>Project: prj_1HZSSWBQM1S08H83, Charm Bio-oil Geologic Storage — Basco 6</w:t>
      </w:r>
      <w:r>
        <w:br/>
      </w:r>
    </w:p>
    <w:p w14:paraId="1018EEA2" w14:textId="77777777" w:rsidR="00DB6E33" w:rsidRDefault="00000000">
      <w:r>
        <w:t>Purpose: this is the fill-in-the-blank framework for the buffer pool reduction ask, per the Sep 11 scoping meeting — not the letter to Isometric itself. Casey and Jen fill in the flagged sections with data interpretation; one internal review pass happens before any of this becomes the basis for the external ask. This version is framed as a delta against what the PDD (v1.12, Appendix 8) already commits Charm to at Basco 6 — the argument is that monitoring has exceeded those commitments, not that new requirements are being invented from scratch.</w:t>
      </w:r>
    </w:p>
    <w:p w14:paraId="278788AE" w14:textId="77777777" w:rsidR="00DB6E33" w:rsidRDefault="00000000">
      <w:pPr>
        <w:pStyle w:val="Heading1"/>
      </w:pPr>
      <w:r>
        <w:t>1. The Ask, in One Line</w:t>
      </w:r>
    </w:p>
    <w:p w14:paraId="15934E29" w14:textId="77777777" w:rsidR="00DB6E33" w:rsidRDefault="00000000">
      <w:r>
        <w:t>Off-cycle Risk of Reversal Questionnaire re-assessment plus a Permeable Reservoirs Module revision request, targeting Very Low (1%) in one step instead of Low (5%). Separately, a refund on buffer already paid in at 5%.</w:t>
      </w:r>
    </w:p>
    <w:p w14:paraId="4F2A314B" w14:textId="77777777" w:rsidR="00DB6E33" w:rsidRDefault="00000000">
      <w:pPr>
        <w:pStyle w:val="Heading1"/>
      </w:pPr>
      <w:r>
        <w:t>2. What the PDD Already Committed To, vs. What Charm Actually Has Now</w:t>
      </w:r>
    </w:p>
    <w:p w14:paraId="20B1DF24" w14:textId="77777777" w:rsidR="00DB6E33" w:rsidRDefault="00000000">
      <w:r>
        <w:t>Before the evidence argument: the PDD (v1.12, Appendix 8 — Basco 6 Permanence Monitoring and Permit Compliance Plan) already tells Isometric what monitoring Charm promised for this single-well site. The buffer-reduction case rests on the fact that actual results have gone beyond that baseline, not on introducing new monitoring nobody agreed to.</w:t>
      </w:r>
    </w:p>
    <w:p w14:paraId="62CA3A33" w14:textId="77777777" w:rsidR="00DB6E33" w:rsidRDefault="00000000">
      <w:r>
        <w:rPr>
          <w:b/>
        </w:rPr>
        <w:t xml:space="preserve">PDD commitment (Appendix 8): </w:t>
      </w:r>
      <w:r>
        <w:rPr>
          <w:i/>
        </w:rPr>
        <w:t>“Direct measurement of bio-oil migration ... is not possible without use of a monitoring well(s). Plume development will be inferred from the Warner-Lehr model ... Vertical migration will be monitored annually via radioactive tracer survey.”</w:t>
      </w:r>
    </w:p>
    <w:p w14:paraId="0327935E" w14:textId="77777777" w:rsidR="00DB6E33" w:rsidRDefault="00000000">
      <w:pPr>
        <w:ind w:left="360"/>
      </w:pPr>
      <w:r>
        <w:rPr>
          <w:b/>
        </w:rPr>
        <w:t xml:space="preserve">Delta — what Charm actually has: </w:t>
      </w:r>
      <w:r>
        <w:t>the annual tracer survey happened as promised, but Charm also ran a cased-hole pulsed-neutron (PNN) saturation log and a Microtaster survey — neither committed to in the PDD. The buffer case leans on results the project didn't promise to produce.</w:t>
      </w:r>
    </w:p>
    <w:p w14:paraId="204D32A6" w14:textId="77777777" w:rsidR="00DB6E33" w:rsidRDefault="00000000">
      <w:r>
        <w:rPr>
          <w:b/>
        </w:rPr>
        <w:lastRenderedPageBreak/>
        <w:t xml:space="preserve">PDD commitment (Appendix 8, §3.1 deviations): </w:t>
      </w:r>
      <w:r>
        <w:rPr>
          <w:i/>
        </w:rPr>
        <w:t>“Charm does not operate an offset well in the immediate vicinity of the Basco 6 EW. As a result, Charm will estimate the radius of the pressure front throughout operations.”</w:t>
      </w:r>
    </w:p>
    <w:p w14:paraId="4C9CD84F" w14:textId="77777777" w:rsidR="00DB6E33" w:rsidRDefault="00000000">
      <w:pPr>
        <w:ind w:left="360"/>
      </w:pPr>
      <w:r>
        <w:rPr>
          <w:b/>
        </w:rPr>
        <w:t xml:space="preserve">Delta if Section 6 below is pursued: </w:t>
      </w:r>
      <w:r>
        <w:t>acquiring the Bosco 6 producer well would let Charm measure the pressure front directly instead of estimating it — a change to what the PDD currently says Charm does, not just new evidence for Isometric. Appendix 8 would need a corresponding update if this goes ahead.</w:t>
      </w:r>
    </w:p>
    <w:p w14:paraId="38231C8D" w14:textId="77777777" w:rsidR="00DB6E33" w:rsidRDefault="00000000">
      <w:r>
        <w:rPr>
          <w:b/>
        </w:rPr>
        <w:t xml:space="preserve">PDD commitment (Appendix 8): </w:t>
      </w:r>
      <w:r>
        <w:rPr>
          <w:i/>
        </w:rPr>
        <w:t>“Periodic falloff tests will also inform reservoir quality changes resulting from either aging (e.g., increased ‘skin effect’) or reactivity (decreasing ‘skin effect’).” Post-injection monitoring plan: “Pressure falloff tests ... that signal increase in pore space will be investigated with wellhead samples to corroborate the source.”</w:t>
      </w:r>
    </w:p>
    <w:p w14:paraId="360B1C7F" w14:textId="77777777" w:rsidR="00DB6E33" w:rsidRDefault="00000000">
      <w:pPr>
        <w:ind w:left="360"/>
      </w:pPr>
      <w:r>
        <w:rPr>
          <w:b/>
        </w:rPr>
        <w:t xml:space="preserve">Delta: </w:t>
      </w:r>
      <w:r>
        <w:t>this is the framework Casey's falloff-test interpretation (Section 3) needs to answer inside — specifically, does skin effect show aging or reactivity, and does the PNN's “no porosity delta” result satisfy the pore-space check the PDD itself set up as the trigger for further investigation. Not a new ask — closing out what the PDD already said Charm would check.</w:t>
      </w:r>
    </w:p>
    <w:p w14:paraId="635114B8" w14:textId="77777777" w:rsidR="00DB6E33" w:rsidRDefault="00000000">
      <w:r>
        <w:rPr>
          <w:b/>
        </w:rPr>
        <w:t xml:space="preserve">PDD commitment (Appendix 8): </w:t>
      </w:r>
      <w:r>
        <w:rPr>
          <w:i/>
        </w:rPr>
        <w:t>“In the absence of a monitoring well, formation fluid samples cannot be collected from the Basco 6 EW without jeopardizing previously sequestered volumes.”</w:t>
      </w:r>
    </w:p>
    <w:p w14:paraId="3894B5DB" w14:textId="77777777" w:rsidR="00DB6E33" w:rsidRDefault="00000000">
      <w:pPr>
        <w:ind w:left="360"/>
      </w:pPr>
      <w:r>
        <w:rPr>
          <w:b/>
        </w:rPr>
        <w:t xml:space="preserve">Delta: </w:t>
      </w:r>
      <w:r>
        <w:t>same single-well constraint as above — reinforces why the offset-well opportunity in Section 6 is more than a nice-to-have if the buffer-reduction ask doesn't land.</w:t>
      </w:r>
    </w:p>
    <w:p w14:paraId="3C115253" w14:textId="77777777" w:rsidR="00DB6E33" w:rsidRDefault="00000000">
      <w:pPr>
        <w:pStyle w:val="Heading1"/>
      </w:pPr>
      <w:r>
        <w:t>3. Core Logic (settled Sep 11)</w:t>
      </w:r>
    </w:p>
    <w:p w14:paraId="7F9003BA" w14:textId="77777777" w:rsidR="00DB6E33" w:rsidRDefault="00000000">
      <w:pPr>
        <w:pStyle w:val="ListBullet"/>
      </w:pPr>
      <w:r>
        <w:t xml:space="preserve">The buffer pool exists to manage reversal risk; reversal risk here is effectively zero. Max: </w:t>
      </w:r>
      <w:r>
        <w:rPr>
          <w:i/>
        </w:rPr>
        <w:t>“The buffer pool exists to do this … we understand why there would be a more conservative bias initially when it’s something that doesn’t have any data behind it.”</w:t>
      </w:r>
    </w:p>
    <w:p w14:paraId="52EC0502" w14:textId="77777777" w:rsidR="00DB6E33" w:rsidRDefault="00000000">
      <w:pPr>
        <w:pStyle w:val="ListBullet"/>
      </w:pPr>
      <w:r>
        <w:t xml:space="preserve">No pressure change → no mechanism for the injectate to move vertically or flow back into the wellbore. Casey: </w:t>
      </w:r>
      <w:r>
        <w:rPr>
          <w:i/>
        </w:rPr>
        <w:t>“We look at reservoir pressure before and after, and we’ve added exactly 0 PSI, and we’ve lost exactly 0 PSI.” “Without changes in pressure, there is no change in the system.”</w:t>
      </w:r>
    </w:p>
    <w:p w14:paraId="4389031B" w14:textId="77777777" w:rsidR="00DB6E33" w:rsidRDefault="00000000">
      <w:pPr>
        <w:pStyle w:val="ListBullet"/>
      </w:pPr>
      <w:r>
        <w:t xml:space="preserve">Lateral migration within the formation, outside the AOR, is a property/monitoring issue, not a reversal. Max: </w:t>
      </w:r>
      <w:r>
        <w:rPr>
          <w:i/>
        </w:rPr>
        <w:t>“If we have lateral migration in the subsurface, I mean, that might be like a property law issue, but that’s not a reversal.”</w:t>
      </w:r>
      <w:r>
        <w:t xml:space="preserve"> Casey: </w:t>
      </w:r>
      <w:r>
        <w:rPr>
          <w:i/>
        </w:rPr>
        <w:t>“There is no technical argument for any leaving of the actual formation.”</w:t>
      </w:r>
    </w:p>
    <w:p w14:paraId="7A48F36E" w14:textId="77777777" w:rsidR="00DB6E33" w:rsidRDefault="00000000">
      <w:pPr>
        <w:pStyle w:val="ListBullet"/>
      </w:pPr>
      <w:r>
        <w:t xml:space="preserve">If the AOR is exceeded, the protocol response is to reevaluate the plume, not shut down. Max: </w:t>
      </w:r>
      <w:r>
        <w:rPr>
          <w:i/>
        </w:rPr>
        <w:t>“You might have to like reevaluate the plume.” “There is no defined, like, if the AOR is different than you thought, you do these 3 things”</w:t>
      </w:r>
      <w:r>
        <w:t xml:space="preserve"> — case-by-case, short of loss of conformance or caprock integrity.</w:t>
      </w:r>
    </w:p>
    <w:p w14:paraId="5BAFADE2" w14:textId="77777777" w:rsidR="00DB6E33" w:rsidRDefault="00000000">
      <w:r>
        <w:rPr>
          <w:b/>
        </w:rPr>
        <w:lastRenderedPageBreak/>
        <w:t xml:space="preserve">FLAG — number mismatch to reconcile: </w:t>
      </w:r>
      <w:r>
        <w:t>the Sep 11 meeting cites reservoir pressure before injection and most recent falloff test as both 1,545 PSI (zero change). JZ's internal memo instead has the raw falloff data at roughly 1,504 to 1,512 psi at 107.4°F, with interpretation still missing. The PDD separately states LDENR issued the MASIP (surface injection pressure ceiling) at 455 psi — a different quantity, not itself a conflict, but a reminder there are at least three distinct pressure figures in play. Casey to confirm which reservoir/falloff figure(s) are correct before either goes into the external letter.</w:t>
      </w:r>
    </w:p>
    <w:p w14:paraId="7DAE98BB" w14:textId="77777777" w:rsidR="00DB6E33" w:rsidRDefault="00000000">
      <w:pPr>
        <w:pStyle w:val="Heading1"/>
      </w:pPr>
      <w:r>
        <w:t>4. Evidence to Stack (order settled Sep 11; interpretation = fill-in-the-blank)</w:t>
      </w:r>
    </w:p>
    <w:p w14:paraId="2E2631C6" w14:textId="77777777" w:rsidR="00DB6E33" w:rsidRDefault="00000000">
      <w:r>
        <w:t>Approach settled at the meeting: stack corroborating observations rather than lead with any single line of evidence. Max: “I think in this instance, it’s sort of the stacking some of these corroborating observations.”</w:t>
      </w:r>
    </w:p>
    <w:p w14:paraId="0A504BBB" w14:textId="77777777" w:rsidR="00DB6E33" w:rsidRDefault="00000000">
      <w:r>
        <w:rPr>
          <w:b/>
        </w:rPr>
        <w:t xml:space="preserve">Pressure falloff test: </w:t>
      </w:r>
      <w:r>
        <w:t>Boundary at ~36 feet from wellbore, consistent with pore volume calculations. Casey: “We’re seeing this interface at 36 feet, which is consistent with what we’d expect to see at the level of injection we have.”</w:t>
      </w:r>
    </w:p>
    <w:p w14:paraId="4575ED65" w14:textId="77777777" w:rsidR="00DB6E33" w:rsidRDefault="00000000">
      <w:pPr>
        <w:ind w:left="360"/>
      </w:pPr>
      <w:r>
        <w:rPr>
          <w:i/>
          <w:color w:val="993300"/>
        </w:rPr>
        <w:t>CASEY — FILL IN: interpreted transmissibility, skin, and boundaries, framed against the PDD's own skin-effect/aging-vs-reactivity language (Section 2) — this is a still-open blocking item per JZ's memo, no interpretation on file yet.</w:t>
      </w:r>
    </w:p>
    <w:p w14:paraId="582118D3" w14:textId="77777777" w:rsidR="00DB6E33" w:rsidRDefault="00000000">
      <w:r>
        <w:rPr>
          <w:b/>
        </w:rPr>
        <w:t xml:space="preserve">PNN log: </w:t>
      </w:r>
      <w:r>
        <w:t>No porosity delta pre/post oil, no pore-space dissolution. Casey: “We measure porosity from the pulse neutron before oil, after oil, we’re not seeing a delta.”</w:t>
      </w:r>
    </w:p>
    <w:p w14:paraId="08C24E64" w14:textId="77777777" w:rsidR="00DB6E33" w:rsidRDefault="00000000">
      <w:pPr>
        <w:ind w:left="360"/>
      </w:pPr>
      <w:r>
        <w:rPr>
          <w:i/>
          <w:color w:val="993300"/>
        </w:rPr>
        <w:t>CASEY — FILL IN: tie this explicitly to (a) the falloff-test injectivity trend (“not see[ing] that trend down if we were increasing porosity through dissolution”) and (b) the PDD's own pore-space-increase investigation trigger (Section 2) — state plainly that this check was run and passed.</w:t>
      </w:r>
    </w:p>
    <w:p w14:paraId="21460FD9" w14:textId="77777777" w:rsidR="00DB6E33" w:rsidRDefault="00000000">
      <w:r>
        <w:rPr>
          <w:b/>
        </w:rPr>
        <w:t xml:space="preserve">Microtaster survey: </w:t>
      </w:r>
      <w:r>
        <w:t>Confirms vertical containment.</w:t>
      </w:r>
    </w:p>
    <w:p w14:paraId="17DAB02E" w14:textId="77777777" w:rsidR="00DB6E33" w:rsidRDefault="00000000">
      <w:pPr>
        <w:ind w:left="360"/>
      </w:pPr>
      <w:r>
        <w:rPr>
          <w:i/>
          <w:color w:val="993300"/>
        </w:rPr>
        <w:t>No quote captured beyond the note bullet itself — CASEY/JEN to confirm this is the same evidence as JZ's memo's tracer-survey and PNN saturation-profile findings (zero bio-oil saturation in both bounding shales), or a separate instrument.</w:t>
      </w:r>
    </w:p>
    <w:p w14:paraId="3BA59EF7" w14:textId="77777777" w:rsidR="00DB6E33" w:rsidRDefault="00000000">
      <w:r>
        <w:rPr>
          <w:b/>
        </w:rPr>
        <w:t xml:space="preserve">Emissions testing post-injection: </w:t>
      </w:r>
      <w:r>
        <w:t>No annulus gas detected, no CO2 generation. “Our emissions testing now post-oil injection checks the box, no annulus gas detected.”</w:t>
      </w:r>
    </w:p>
    <w:p w14:paraId="5BD043CB" w14:textId="77777777" w:rsidR="00DB6E33" w:rsidRDefault="00000000">
      <w:pPr>
        <w:ind w:left="360"/>
      </w:pPr>
      <w:r>
        <w:rPr>
          <w:i/>
          <w:color w:val="993300"/>
        </w:rPr>
        <w:t>No fill-in flagged — appears settled, and matches the PDD's own 6-month wellhead gas measurement commitment (Section 2).</w:t>
      </w:r>
    </w:p>
    <w:p w14:paraId="5FC5A952" w14:textId="77777777" w:rsidR="00DB6E33" w:rsidRDefault="00000000">
      <w:r>
        <w:t xml:space="preserve">JEN — FILL IN (still open, blocking per JZ's memo): written position on the response seen from roughly 3,464 to 3,492 ft, about 28 ft above the top perf — near-wellbore/annular fill (benign) </w:t>
      </w:r>
      <w:r>
        <w:lastRenderedPageBreak/>
        <w:t>vs. actual formation entry above the perfs (not benign). State whether the tracer time-drive result at 3,462 ft closes this question or only bounds it.</w:t>
      </w:r>
    </w:p>
    <w:p w14:paraId="3CFDA22E" w14:textId="77777777" w:rsidR="00DB6E33" w:rsidRDefault="00000000">
      <w:pPr>
        <w:pStyle w:val="Heading1"/>
      </w:pPr>
      <w:r>
        <w:t>5. Vaulted — Background Pressure, Not the Primary Argument (settled Sep 11)</w:t>
      </w:r>
    </w:p>
    <w:p w14:paraId="69438E0F" w14:textId="77777777" w:rsidR="00DB6E33" w:rsidRDefault="00000000">
      <w:r>
        <w:t>The meeting narrowed this relative to JZ's memo, which treated the Vaulted comparison as one of four core argument points. Sep 11 explicitly demotes it: useful as background leverage, not load-bearing.</w:t>
      </w:r>
    </w:p>
    <w:p w14:paraId="5FADBD00" w14:textId="77777777" w:rsidR="00DB6E33" w:rsidRDefault="00000000">
      <w:pPr>
        <w:pStyle w:val="ListBullet"/>
      </w:pPr>
      <w:r>
        <w:t xml:space="preserve">Max, on the fairness point: </w:t>
      </w:r>
      <w:r>
        <w:rPr>
          <w:i/>
        </w:rPr>
        <w:t>“It seems a reasonable observer could come away with the impression that there is favor towards certain types of cavern systems that isn’t really justifiable given the fact that they are at the USDW and actively recirculating stuff into and out of.”</w:t>
      </w:r>
    </w:p>
    <w:p w14:paraId="273883E4" w14:textId="77777777" w:rsidR="00DB6E33" w:rsidRDefault="00000000">
      <w:pPr>
        <w:pStyle w:val="ListBullet"/>
      </w:pPr>
      <w:r>
        <w:t xml:space="preserve">Max, on the expected Isometric counter (his own words, said out loud to preempt it): </w:t>
      </w:r>
      <w:r>
        <w:rPr>
          <w:i/>
        </w:rPr>
        <w:t>“I don’t see how that justifies taking a different approach to risk [for] your asset, right?”</w:t>
      </w:r>
    </w:p>
    <w:p w14:paraId="3E2881F8" w14:textId="77777777" w:rsidR="00DB6E33" w:rsidRDefault="00000000">
      <w:pPr>
        <w:pStyle w:val="ListBullet"/>
      </w:pPr>
      <w:r>
        <w:t xml:space="preserve">Agreed response if raised: ground the case in Basco-specific evidence, not the Vaulted comparison. Max: </w:t>
      </w:r>
      <w:r>
        <w:rPr>
          <w:i/>
        </w:rPr>
        <w:t>“So what we would want to do is then be able to say, and also here’s all the reasons why the system has been demonstrated to be lower risk.”</w:t>
      </w:r>
    </w:p>
    <w:p w14:paraId="330ECD27" w14:textId="77777777" w:rsidR="00DB6E33" w:rsidRDefault="00000000">
      <w:r>
        <w:t>This matches JZ's memo's own instruction not to name Vaulted directly in the external letter — the meeting extends that same caution to how much weight this angle carries even internally.</w:t>
      </w:r>
    </w:p>
    <w:p w14:paraId="59E124A3" w14:textId="77777777" w:rsidR="00DB6E33" w:rsidRDefault="00000000">
      <w:pPr>
        <w:pStyle w:val="Heading1"/>
      </w:pPr>
      <w:r>
        <w:t>6. Open Items — Status After Sep 11</w:t>
      </w:r>
    </w:p>
    <w:p w14:paraId="2D476864" w14:textId="77777777" w:rsidR="00DB6E33" w:rsidRDefault="00000000">
      <w:r>
        <w:t>Carried from JZ's memo unless the Sep 11 meeting shows otherwise. Status only — no item below is resolved here; each routes to its owner.</w:t>
      </w:r>
    </w:p>
    <w:tbl>
      <w:tblPr>
        <w:tblStyle w:val="LightGrid-Accent1"/>
        <w:tblW w:w="0" w:type="auto"/>
        <w:tblLook w:val="04A0" w:firstRow="1" w:lastRow="0" w:firstColumn="1" w:lastColumn="0" w:noHBand="0" w:noVBand="1"/>
      </w:tblPr>
      <w:tblGrid>
        <w:gridCol w:w="2160"/>
        <w:gridCol w:w="2160"/>
        <w:gridCol w:w="2160"/>
        <w:gridCol w:w="2160"/>
      </w:tblGrid>
      <w:tr w:rsidR="00DB6E33" w14:paraId="77E80E62" w14:textId="77777777" w:rsidTr="00DB6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6E4F0"/>
          </w:tcPr>
          <w:p w14:paraId="277CA2BD" w14:textId="77777777" w:rsidR="00DB6E33" w:rsidRDefault="00000000">
            <w:r>
              <w:t>Item</w:t>
            </w:r>
          </w:p>
        </w:tc>
        <w:tc>
          <w:tcPr>
            <w:tcW w:w="2160" w:type="dxa"/>
            <w:shd w:val="clear" w:color="auto" w:fill="D6E4F0"/>
          </w:tcPr>
          <w:p w14:paraId="737C0167" w14:textId="77777777" w:rsidR="00DB6E33" w:rsidRDefault="00000000">
            <w:pPr>
              <w:cnfStyle w:val="100000000000" w:firstRow="1" w:lastRow="0" w:firstColumn="0" w:lastColumn="0" w:oddVBand="0" w:evenVBand="0" w:oddHBand="0" w:evenHBand="0" w:firstRowFirstColumn="0" w:firstRowLastColumn="0" w:lastRowFirstColumn="0" w:lastRowLastColumn="0"/>
            </w:pPr>
            <w:r>
              <w:t>Owner</w:t>
            </w:r>
          </w:p>
        </w:tc>
        <w:tc>
          <w:tcPr>
            <w:tcW w:w="2160" w:type="dxa"/>
            <w:shd w:val="clear" w:color="auto" w:fill="D6E4F0"/>
          </w:tcPr>
          <w:p w14:paraId="774EB6F7" w14:textId="77777777" w:rsidR="00DB6E33"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160" w:type="dxa"/>
            <w:shd w:val="clear" w:color="auto" w:fill="D6E4F0"/>
          </w:tcPr>
          <w:p w14:paraId="21CE06D0" w14:textId="77777777" w:rsidR="00DB6E33" w:rsidRDefault="00000000">
            <w:pPr>
              <w:cnfStyle w:val="100000000000" w:firstRow="1" w:lastRow="0" w:firstColumn="0" w:lastColumn="0" w:oddVBand="0" w:evenVBand="0" w:oddHBand="0" w:evenHBand="0" w:firstRowFirstColumn="0" w:firstRowLastColumn="0" w:lastRowFirstColumn="0" w:lastRowLastColumn="0"/>
            </w:pPr>
            <w:r>
              <w:t>Note</w:t>
            </w:r>
          </w:p>
        </w:tc>
      </w:tr>
      <w:tr w:rsidR="00DB6E33" w14:paraId="46C01394"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7CC7FB" w14:textId="77777777" w:rsidR="00DB6E33" w:rsidRDefault="00000000">
            <w:r>
              <w:t>Written position: response above top perf (3,464–3,492 ft)</w:t>
            </w:r>
          </w:p>
        </w:tc>
        <w:tc>
          <w:tcPr>
            <w:tcW w:w="2160" w:type="dxa"/>
          </w:tcPr>
          <w:p w14:paraId="7A109DC1" w14:textId="77777777" w:rsidR="00DB6E33" w:rsidRDefault="00000000">
            <w:pPr>
              <w:cnfStyle w:val="000000100000" w:firstRow="0" w:lastRow="0" w:firstColumn="0" w:lastColumn="0" w:oddVBand="0" w:evenVBand="0" w:oddHBand="1" w:evenHBand="0" w:firstRowFirstColumn="0" w:firstRowLastColumn="0" w:lastRowFirstColumn="0" w:lastRowLastColumn="0"/>
            </w:pPr>
            <w:r>
              <w:t>Jen Anderson</w:t>
            </w:r>
          </w:p>
        </w:tc>
        <w:tc>
          <w:tcPr>
            <w:tcW w:w="2160" w:type="dxa"/>
          </w:tcPr>
          <w:p w14:paraId="6A80F071" w14:textId="77777777" w:rsidR="00DB6E33" w:rsidRDefault="00000000">
            <w:pPr>
              <w:cnfStyle w:val="000000100000" w:firstRow="0" w:lastRow="0" w:firstColumn="0" w:lastColumn="0" w:oddVBand="0" w:evenVBand="0" w:oddHBand="1" w:evenHBand="0" w:firstRowFirstColumn="0" w:firstRowLastColumn="0" w:lastRowFirstColumn="0" w:lastRowLastColumn="0"/>
            </w:pPr>
            <w:r>
              <w:t>STILL OPEN — blocking</w:t>
            </w:r>
          </w:p>
        </w:tc>
        <w:tc>
          <w:tcPr>
            <w:tcW w:w="2160" w:type="dxa"/>
          </w:tcPr>
          <w:p w14:paraId="6F951E80" w14:textId="77777777" w:rsidR="00DB6E33" w:rsidRDefault="00000000">
            <w:pPr>
              <w:cnfStyle w:val="000000100000" w:firstRow="0" w:lastRow="0" w:firstColumn="0" w:lastColumn="0" w:oddVBand="0" w:evenVBand="0" w:oddHBand="1" w:evenHBand="0" w:firstRowFirstColumn="0" w:firstRowLastColumn="0" w:lastRowFirstColumn="0" w:lastRowLastColumn="0"/>
            </w:pPr>
            <w:r>
              <w:t>Not addressed at the meeting. See Section 4.</w:t>
            </w:r>
          </w:p>
        </w:tc>
      </w:tr>
      <w:tr w:rsidR="00DB6E33" w14:paraId="74BD640C" w14:textId="77777777" w:rsidTr="00DB6E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BBF100" w14:textId="77777777" w:rsidR="00DB6E33" w:rsidRDefault="00000000">
            <w:r>
              <w:t>Falloff test interpretation (transmissibility, skin, boundaries)</w:t>
            </w:r>
          </w:p>
        </w:tc>
        <w:tc>
          <w:tcPr>
            <w:tcW w:w="2160" w:type="dxa"/>
          </w:tcPr>
          <w:p w14:paraId="32197DD8" w14:textId="77777777" w:rsidR="00DB6E33" w:rsidRDefault="00000000">
            <w:pPr>
              <w:cnfStyle w:val="000000010000" w:firstRow="0" w:lastRow="0" w:firstColumn="0" w:lastColumn="0" w:oddVBand="0" w:evenVBand="0" w:oddHBand="0" w:evenHBand="1" w:firstRowFirstColumn="0" w:firstRowLastColumn="0" w:lastRowFirstColumn="0" w:lastRowLastColumn="0"/>
            </w:pPr>
            <w:r>
              <w:t>Casey Korejwo</w:t>
            </w:r>
          </w:p>
        </w:tc>
        <w:tc>
          <w:tcPr>
            <w:tcW w:w="2160" w:type="dxa"/>
          </w:tcPr>
          <w:p w14:paraId="16FD9014" w14:textId="77777777" w:rsidR="00DB6E33" w:rsidRDefault="00000000">
            <w:pPr>
              <w:cnfStyle w:val="000000010000" w:firstRow="0" w:lastRow="0" w:firstColumn="0" w:lastColumn="0" w:oddVBand="0" w:evenVBand="0" w:oddHBand="0" w:evenHBand="1" w:firstRowFirstColumn="0" w:firstRowLastColumn="0" w:lastRowFirstColumn="0" w:lastRowLastColumn="0"/>
            </w:pPr>
            <w:r>
              <w:t>STILL OPEN — blocking</w:t>
            </w:r>
          </w:p>
        </w:tc>
        <w:tc>
          <w:tcPr>
            <w:tcW w:w="2160" w:type="dxa"/>
          </w:tcPr>
          <w:p w14:paraId="188D031E" w14:textId="77777777" w:rsidR="00DB6E33" w:rsidRDefault="00000000">
            <w:pPr>
              <w:cnfStyle w:val="000000010000" w:firstRow="0" w:lastRow="0" w:firstColumn="0" w:lastColumn="0" w:oddVBand="0" w:evenVBand="0" w:oddHBand="0" w:evenHBand="1" w:firstRowFirstColumn="0" w:firstRowLastColumn="0" w:lastRowFirstColumn="0" w:lastRowLastColumn="0"/>
            </w:pPr>
            <w:r>
              <w:t>Meeting cites a pressure figure that doesn't match JZ's memo's raw data — see flag in Section 3. Frame against PDD's skin-effect language (Section 2).</w:t>
            </w:r>
          </w:p>
        </w:tc>
      </w:tr>
      <w:tr w:rsidR="00DB6E33" w14:paraId="5FF06D92"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40B82" w14:textId="77777777" w:rsidR="00DB6E33" w:rsidRDefault="00000000">
            <w:r>
              <w:t xml:space="preserve">Buffer ledger reconciled against the registry </w:t>
            </w:r>
            <w:r>
              <w:lastRenderedPageBreak/>
              <w:t>(8,426.77 issued vs. 315.808 in buffer vs. expected ~421)</w:t>
            </w:r>
          </w:p>
        </w:tc>
        <w:tc>
          <w:tcPr>
            <w:tcW w:w="2160" w:type="dxa"/>
          </w:tcPr>
          <w:p w14:paraId="362A4A53" w14:textId="77777777" w:rsidR="00DB6E33" w:rsidRDefault="00000000">
            <w:pPr>
              <w:cnfStyle w:val="000000100000" w:firstRow="0" w:lastRow="0" w:firstColumn="0" w:lastColumn="0" w:oddVBand="0" w:evenVBand="0" w:oddHBand="1" w:evenHBand="0" w:firstRowFirstColumn="0" w:firstRowLastColumn="0" w:lastRowFirstColumn="0" w:lastRowLastColumn="0"/>
            </w:pPr>
            <w:r>
              <w:lastRenderedPageBreak/>
              <w:t>Garrett Lutz</w:t>
            </w:r>
          </w:p>
        </w:tc>
        <w:tc>
          <w:tcPr>
            <w:tcW w:w="2160" w:type="dxa"/>
          </w:tcPr>
          <w:p w14:paraId="0F7232AA" w14:textId="77777777" w:rsidR="00DB6E33" w:rsidRDefault="00000000">
            <w:pPr>
              <w:cnfStyle w:val="000000100000" w:firstRow="0" w:lastRow="0" w:firstColumn="0" w:lastColumn="0" w:oddVBand="0" w:evenVBand="0" w:oddHBand="1" w:evenHBand="0" w:firstRowFirstColumn="0" w:firstRowLastColumn="0" w:lastRowFirstColumn="0" w:lastRowLastColumn="0"/>
            </w:pPr>
            <w:r>
              <w:t>STILL OPEN — blocking</w:t>
            </w:r>
          </w:p>
        </w:tc>
        <w:tc>
          <w:tcPr>
            <w:tcW w:w="2160" w:type="dxa"/>
          </w:tcPr>
          <w:p w14:paraId="2B0E5570" w14:textId="77777777" w:rsidR="00DB6E33" w:rsidRDefault="00000000">
            <w:pPr>
              <w:cnfStyle w:val="000000100000" w:firstRow="0" w:lastRow="0" w:firstColumn="0" w:lastColumn="0" w:oddVBand="0" w:evenVBand="0" w:oddHBand="1" w:evenHBand="0" w:firstRowFirstColumn="0" w:firstRowLastColumn="0" w:lastRowFirstColumn="0" w:lastRowLastColumn="0"/>
            </w:pPr>
            <w:r>
              <w:t>Not discussed at the meeting.</w:t>
            </w:r>
          </w:p>
        </w:tc>
      </w:tr>
      <w:tr w:rsidR="00DB6E33" w14:paraId="1F544966" w14:textId="77777777" w:rsidTr="00DB6E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A8699C" w14:textId="77777777" w:rsidR="00DB6E33" w:rsidRDefault="00000000">
            <w:r>
              <w:t>Confirm protocol clause numbers, module versions, and refund terms in Certify</w:t>
            </w:r>
          </w:p>
        </w:tc>
        <w:tc>
          <w:tcPr>
            <w:tcW w:w="2160" w:type="dxa"/>
          </w:tcPr>
          <w:p w14:paraId="48E84AE8" w14:textId="77777777" w:rsidR="00DB6E33" w:rsidRDefault="00000000">
            <w:pPr>
              <w:cnfStyle w:val="000000010000" w:firstRow="0" w:lastRow="0" w:firstColumn="0" w:lastColumn="0" w:oddVBand="0" w:evenVBand="0" w:oddHBand="0" w:evenHBand="1" w:firstRowFirstColumn="0" w:firstRowLastColumn="0" w:lastRowFirstColumn="0" w:lastRowLastColumn="0"/>
            </w:pPr>
            <w:r>
              <w:t>Max Lavine</w:t>
            </w:r>
          </w:p>
        </w:tc>
        <w:tc>
          <w:tcPr>
            <w:tcW w:w="2160" w:type="dxa"/>
          </w:tcPr>
          <w:p w14:paraId="128E79D4" w14:textId="77777777" w:rsidR="00DB6E33" w:rsidRDefault="00000000">
            <w:pPr>
              <w:cnfStyle w:val="000000010000" w:firstRow="0" w:lastRow="0" w:firstColumn="0" w:lastColumn="0" w:oddVBand="0" w:evenVBand="0" w:oddHBand="0" w:evenHBand="1" w:firstRowFirstColumn="0" w:firstRowLastColumn="0" w:lastRowFirstColumn="0" w:lastRowLastColumn="0"/>
            </w:pPr>
            <w:r>
              <w:t>STILL OPEN — blocking</w:t>
            </w:r>
          </w:p>
        </w:tc>
        <w:tc>
          <w:tcPr>
            <w:tcW w:w="2160" w:type="dxa"/>
          </w:tcPr>
          <w:p w14:paraId="7EE481CB" w14:textId="77777777" w:rsidR="00DB6E33" w:rsidRDefault="00000000">
            <w:pPr>
              <w:cnfStyle w:val="000000010000" w:firstRow="0" w:lastRow="0" w:firstColumn="0" w:lastColumn="0" w:oddVBand="0" w:evenVBand="0" w:oddHBand="0" w:evenHBand="1" w:firstRowFirstColumn="0" w:firstRowLastColumn="0" w:lastRowFirstColumn="0" w:lastRowLastColumn="0"/>
            </w:pPr>
            <w:r>
              <w:t>Discrepancy found this session: internal knowledge base lists Salt Cavern Module v1.1 at 2% buffer / Basco at Permeable Reservoirs v1.1; JZ's memo cites Module v1.2 (Nov 2025) with Very Low at 1%. Needs reconciling in Certify before either number is used externally.</w:t>
            </w:r>
          </w:p>
        </w:tc>
      </w:tr>
      <w:tr w:rsidR="00DB6E33" w14:paraId="45293AA6"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90A33F" w14:textId="77777777" w:rsidR="00DB6E33" w:rsidRDefault="00000000">
            <w:r>
              <w:t>VSH increase at lower perf (uranium vs. GR check)</w:t>
            </w:r>
          </w:p>
        </w:tc>
        <w:tc>
          <w:tcPr>
            <w:tcW w:w="2160" w:type="dxa"/>
          </w:tcPr>
          <w:p w14:paraId="6AD395E1" w14:textId="77777777" w:rsidR="00DB6E33" w:rsidRDefault="00000000">
            <w:pPr>
              <w:cnfStyle w:val="000000100000" w:firstRow="0" w:lastRow="0" w:firstColumn="0" w:lastColumn="0" w:oddVBand="0" w:evenVBand="0" w:oddHBand="1" w:evenHBand="0" w:firstRowFirstColumn="0" w:firstRowLastColumn="0" w:lastRowFirstColumn="0" w:lastRowLastColumn="0"/>
            </w:pPr>
            <w:r>
              <w:t>Jen Anderson</w:t>
            </w:r>
          </w:p>
        </w:tc>
        <w:tc>
          <w:tcPr>
            <w:tcW w:w="2160" w:type="dxa"/>
          </w:tcPr>
          <w:p w14:paraId="5229CB74" w14:textId="77777777" w:rsidR="00DB6E33" w:rsidRDefault="00000000">
            <w:pPr>
              <w:cnfStyle w:val="000000100000" w:firstRow="0" w:lastRow="0" w:firstColumn="0" w:lastColumn="0" w:oddVBand="0" w:evenVBand="0" w:oddHBand="1" w:evenHBand="0" w:firstRowFirstColumn="0" w:firstRowLastColumn="0" w:lastRowFirstColumn="0" w:lastRowLastColumn="0"/>
            </w:pPr>
            <w:r>
              <w:t>STILL OPEN — non-blocking</w:t>
            </w:r>
          </w:p>
        </w:tc>
        <w:tc>
          <w:tcPr>
            <w:tcW w:w="2160" w:type="dxa"/>
          </w:tcPr>
          <w:p w14:paraId="286EFE94" w14:textId="77777777" w:rsidR="00DB6E33" w:rsidRDefault="00000000">
            <w:pPr>
              <w:cnfStyle w:val="000000100000" w:firstRow="0" w:lastRow="0" w:firstColumn="0" w:lastColumn="0" w:oddVBand="0" w:evenVBand="0" w:oddHBand="1" w:evenHBand="0" w:firstRowFirstColumn="0" w:firstRowLastColumn="0" w:lastRowFirstColumn="0" w:lastRowLastColumn="0"/>
            </w:pPr>
            <w:r>
              <w:t>Not discussed at the meeting.</w:t>
            </w:r>
          </w:p>
        </w:tc>
      </w:tr>
      <w:tr w:rsidR="00DB6E33" w14:paraId="46E0822C" w14:textId="77777777" w:rsidTr="00DB6E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BBC5B3" w14:textId="77777777" w:rsidR="00DB6E33" w:rsidRDefault="00000000">
            <w:r>
              <w:t>Microbial degradation position memo</w:t>
            </w:r>
          </w:p>
        </w:tc>
        <w:tc>
          <w:tcPr>
            <w:tcW w:w="2160" w:type="dxa"/>
          </w:tcPr>
          <w:p w14:paraId="139C443D" w14:textId="77777777" w:rsidR="00DB6E33" w:rsidRDefault="00000000">
            <w:pPr>
              <w:cnfStyle w:val="000000010000" w:firstRow="0" w:lastRow="0" w:firstColumn="0" w:lastColumn="0" w:oddVBand="0" w:evenVBand="0" w:oddHBand="0" w:evenHBand="1" w:firstRowFirstColumn="0" w:firstRowLastColumn="0" w:lastRowFirstColumn="0" w:lastRowLastColumn="0"/>
            </w:pPr>
            <w:r>
              <w:t>Taniya Kar (rev. Jen Anderson)</w:t>
            </w:r>
          </w:p>
        </w:tc>
        <w:tc>
          <w:tcPr>
            <w:tcW w:w="2160" w:type="dxa"/>
          </w:tcPr>
          <w:p w14:paraId="6CF29453" w14:textId="77777777" w:rsidR="00DB6E33" w:rsidRDefault="00000000">
            <w:pPr>
              <w:cnfStyle w:val="000000010000" w:firstRow="0" w:lastRow="0" w:firstColumn="0" w:lastColumn="0" w:oddVBand="0" w:evenVBand="0" w:oddHBand="0" w:evenHBand="1" w:firstRowFirstColumn="0" w:firstRowLastColumn="0" w:lastRowFirstColumn="0" w:lastRowLastColumn="0"/>
            </w:pPr>
            <w:r>
              <w:t>STILL OPEN — non-blocking</w:t>
            </w:r>
          </w:p>
        </w:tc>
        <w:tc>
          <w:tcPr>
            <w:tcW w:w="2160" w:type="dxa"/>
          </w:tcPr>
          <w:p w14:paraId="31312EE3" w14:textId="77777777" w:rsidR="00DB6E33" w:rsidRDefault="00000000">
            <w:pPr>
              <w:cnfStyle w:val="000000010000" w:firstRow="0" w:lastRow="0" w:firstColumn="0" w:lastColumn="0" w:oddVBand="0" w:evenVBand="0" w:oddHBand="0" w:evenHBand="1" w:firstRowFirstColumn="0" w:firstRowLastColumn="0" w:lastRowFirstColumn="0" w:lastRowLastColumn="0"/>
            </w:pPr>
            <w:r>
              <w:t>Not discussed at the meeting.</w:t>
            </w:r>
          </w:p>
        </w:tc>
      </w:tr>
      <w:tr w:rsidR="00DB6E33" w14:paraId="128749EF"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EEA54E" w14:textId="77777777" w:rsidR="00DB6E33" w:rsidRDefault="00000000">
            <w:r>
              <w:t>Hallibrton rerun with produced-water sigma</w:t>
            </w:r>
          </w:p>
        </w:tc>
        <w:tc>
          <w:tcPr>
            <w:tcW w:w="2160" w:type="dxa"/>
          </w:tcPr>
          <w:p w14:paraId="37487A94" w14:textId="77777777" w:rsidR="00DB6E33" w:rsidRDefault="00000000">
            <w:pPr>
              <w:cnfStyle w:val="000000100000" w:firstRow="0" w:lastRow="0" w:firstColumn="0" w:lastColumn="0" w:oddVBand="0" w:evenVBand="0" w:oddHBand="1" w:evenHBand="0" w:firstRowFirstColumn="0" w:firstRowLastColumn="0" w:lastRowFirstColumn="0" w:lastRowLastColumn="0"/>
            </w:pPr>
            <w:r>
              <w:t>Jen Anderson</w:t>
            </w:r>
          </w:p>
        </w:tc>
        <w:tc>
          <w:tcPr>
            <w:tcW w:w="2160" w:type="dxa"/>
          </w:tcPr>
          <w:p w14:paraId="7293400D" w14:textId="77777777" w:rsidR="00DB6E33" w:rsidRDefault="00000000">
            <w:pPr>
              <w:cnfStyle w:val="000000100000" w:firstRow="0" w:lastRow="0" w:firstColumn="0" w:lastColumn="0" w:oddVBand="0" w:evenVBand="0" w:oddHBand="1" w:evenHBand="0" w:firstRowFirstColumn="0" w:firstRowLastColumn="0" w:lastRowFirstColumn="0" w:lastRowLastColumn="0"/>
            </w:pPr>
            <w:r>
              <w:t>STILL OPEN — non-blocking</w:t>
            </w:r>
          </w:p>
        </w:tc>
        <w:tc>
          <w:tcPr>
            <w:tcW w:w="2160" w:type="dxa"/>
          </w:tcPr>
          <w:p w14:paraId="160D2D15" w14:textId="77777777" w:rsidR="00DB6E33" w:rsidRDefault="00000000">
            <w:pPr>
              <w:cnfStyle w:val="000000100000" w:firstRow="0" w:lastRow="0" w:firstColumn="0" w:lastColumn="0" w:oddVBand="0" w:evenVBand="0" w:oddHBand="1" w:evenHBand="0" w:firstRowFirstColumn="0" w:firstRowLastColumn="0" w:lastRowFirstColumn="0" w:lastRowLastColumn="0"/>
            </w:pPr>
            <w:r>
              <w:t>Not discussed at the meeting.</w:t>
            </w:r>
          </w:p>
        </w:tc>
      </w:tr>
      <w:tr w:rsidR="00DB6E33" w14:paraId="13F8B224" w14:textId="77777777" w:rsidTr="00DB6E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2C1E5A" w14:textId="77777777" w:rsidR="00DB6E33" w:rsidRDefault="00000000">
            <w:r>
              <w:t>Reconstruct Jan 2024 Isometric buffer discussion</w:t>
            </w:r>
          </w:p>
        </w:tc>
        <w:tc>
          <w:tcPr>
            <w:tcW w:w="2160" w:type="dxa"/>
          </w:tcPr>
          <w:p w14:paraId="16955C4F" w14:textId="77777777" w:rsidR="00DB6E33" w:rsidRDefault="00000000">
            <w:pPr>
              <w:cnfStyle w:val="000000010000" w:firstRow="0" w:lastRow="0" w:firstColumn="0" w:lastColumn="0" w:oddVBand="0" w:evenVBand="0" w:oddHBand="0" w:evenHBand="1" w:firstRowFirstColumn="0" w:firstRowLastColumn="0" w:lastRowFirstColumn="0" w:lastRowLastColumn="0"/>
            </w:pPr>
            <w:r>
              <w:t>Jen Anderson / Max Lavine</w:t>
            </w:r>
          </w:p>
        </w:tc>
        <w:tc>
          <w:tcPr>
            <w:tcW w:w="2160" w:type="dxa"/>
          </w:tcPr>
          <w:p w14:paraId="7B02EEAE" w14:textId="77777777" w:rsidR="00DB6E33" w:rsidRDefault="00000000">
            <w:pPr>
              <w:cnfStyle w:val="000000010000" w:firstRow="0" w:lastRow="0" w:firstColumn="0" w:lastColumn="0" w:oddVBand="0" w:evenVBand="0" w:oddHBand="0" w:evenHBand="1" w:firstRowFirstColumn="0" w:firstRowLastColumn="0" w:lastRowFirstColumn="0" w:lastRowLastColumn="0"/>
            </w:pPr>
            <w:r>
              <w:t>STILL OPEN — timeboxed to 1 hr per JZ</w:t>
            </w:r>
          </w:p>
        </w:tc>
        <w:tc>
          <w:tcPr>
            <w:tcW w:w="2160" w:type="dxa"/>
          </w:tcPr>
          <w:p w14:paraId="3A8B7AF4" w14:textId="77777777" w:rsidR="00DB6E33" w:rsidRDefault="00000000">
            <w:pPr>
              <w:cnfStyle w:val="000000010000" w:firstRow="0" w:lastRow="0" w:firstColumn="0" w:lastColumn="0" w:oddVBand="0" w:evenVBand="0" w:oddHBand="0" w:evenHBand="1" w:firstRowFirstColumn="0" w:firstRowLastColumn="0" w:lastRowFirstColumn="0" w:lastRowLastColumn="0"/>
            </w:pPr>
            <w:r>
              <w:t>Not discussed at the meeting.</w:t>
            </w:r>
          </w:p>
        </w:tc>
      </w:tr>
      <w:tr w:rsidR="00DB6E33" w14:paraId="5486B5C9"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D6DE34" w14:textId="77777777" w:rsidR="00DB6E33" w:rsidRDefault="00000000">
            <w:r>
              <w:t>Data integrity cleanup (API number mismatches, KUTH wrong-well files)</w:t>
            </w:r>
          </w:p>
        </w:tc>
        <w:tc>
          <w:tcPr>
            <w:tcW w:w="2160" w:type="dxa"/>
          </w:tcPr>
          <w:p w14:paraId="3C174389" w14:textId="77777777" w:rsidR="00DB6E33" w:rsidRDefault="00000000">
            <w:pPr>
              <w:cnfStyle w:val="000000100000" w:firstRow="0" w:lastRow="0" w:firstColumn="0" w:lastColumn="0" w:oddVBand="0" w:evenVBand="0" w:oddHBand="1" w:evenHBand="0" w:firstRowFirstColumn="0" w:firstRowLastColumn="0" w:lastRowFirstColumn="0" w:lastRowLastColumn="0"/>
            </w:pPr>
            <w:r>
              <w:t>Jen Anderson</w:t>
            </w:r>
          </w:p>
        </w:tc>
        <w:tc>
          <w:tcPr>
            <w:tcW w:w="2160" w:type="dxa"/>
          </w:tcPr>
          <w:p w14:paraId="6386C605" w14:textId="77777777" w:rsidR="00DB6E33" w:rsidRDefault="00000000">
            <w:pPr>
              <w:cnfStyle w:val="000000100000" w:firstRow="0" w:lastRow="0" w:firstColumn="0" w:lastColumn="0" w:oddVBand="0" w:evenVBand="0" w:oddHBand="1" w:evenHBand="0" w:firstRowFirstColumn="0" w:firstRowLastColumn="0" w:lastRowFirstColumn="0" w:lastRowLastColumn="0"/>
            </w:pPr>
            <w:r>
              <w:t>STILL OPEN — non-blocking</w:t>
            </w:r>
          </w:p>
        </w:tc>
        <w:tc>
          <w:tcPr>
            <w:tcW w:w="2160" w:type="dxa"/>
          </w:tcPr>
          <w:p w14:paraId="44679332" w14:textId="77777777" w:rsidR="00DB6E33" w:rsidRDefault="00000000">
            <w:pPr>
              <w:cnfStyle w:val="000000100000" w:firstRow="0" w:lastRow="0" w:firstColumn="0" w:lastColumn="0" w:oddVBand="0" w:evenVBand="0" w:oddHBand="1" w:evenHBand="0" w:firstRowFirstColumn="0" w:firstRowLastColumn="0" w:lastRowFirstColumn="0" w:lastRowLastColumn="0"/>
            </w:pPr>
            <w:r>
              <w:t>Not discussed at the meeting.</w:t>
            </w:r>
          </w:p>
        </w:tc>
      </w:tr>
      <w:tr w:rsidR="00DB6E33" w14:paraId="5CEB5F70" w14:textId="77777777" w:rsidTr="00DB6E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8CAF1" w14:textId="77777777" w:rsidR="00DB6E33" w:rsidRDefault="00000000">
            <w:r>
              <w:t>PDD Appendix 8 update if the offset well is acquired</w:t>
            </w:r>
          </w:p>
        </w:tc>
        <w:tc>
          <w:tcPr>
            <w:tcW w:w="2160" w:type="dxa"/>
          </w:tcPr>
          <w:p w14:paraId="398E611C" w14:textId="77777777" w:rsidR="00DB6E33" w:rsidRDefault="00000000">
            <w:pPr>
              <w:cnfStyle w:val="000000010000" w:firstRow="0" w:lastRow="0" w:firstColumn="0" w:lastColumn="0" w:oddVBand="0" w:evenVBand="0" w:oddHBand="0" w:evenHBand="1" w:firstRowFirstColumn="0" w:firstRowLastColumn="0" w:lastRowFirstColumn="0" w:lastRowLastColumn="0"/>
            </w:pPr>
            <w:r>
              <w:t>Max Lavine / Casey Korejwo</w:t>
            </w:r>
          </w:p>
        </w:tc>
        <w:tc>
          <w:tcPr>
            <w:tcW w:w="2160" w:type="dxa"/>
          </w:tcPr>
          <w:p w14:paraId="263035AE" w14:textId="77777777" w:rsidR="00DB6E33" w:rsidRDefault="00000000">
            <w:pPr>
              <w:cnfStyle w:val="000000010000" w:firstRow="0" w:lastRow="0" w:firstColumn="0" w:lastColumn="0" w:oddVBand="0" w:evenVBand="0" w:oddHBand="0" w:evenHBand="1" w:firstRowFirstColumn="0" w:firstRowLastColumn="0" w:lastRowFirstColumn="0" w:lastRowLastColumn="0"/>
            </w:pPr>
            <w:r>
              <w:t>NEW — flagged this session</w:t>
            </w:r>
          </w:p>
        </w:tc>
        <w:tc>
          <w:tcPr>
            <w:tcW w:w="2160" w:type="dxa"/>
          </w:tcPr>
          <w:p w14:paraId="22882B21" w14:textId="77777777" w:rsidR="00DB6E33" w:rsidRDefault="00000000">
            <w:pPr>
              <w:cnfStyle w:val="000000010000" w:firstRow="0" w:lastRow="0" w:firstColumn="0" w:lastColumn="0" w:oddVBand="0" w:evenVBand="0" w:oddHBand="0" w:evenHBand="1" w:firstRowFirstColumn="0" w:firstRowLastColumn="0" w:lastRowFirstColumn="0" w:lastRowLastColumn="0"/>
            </w:pPr>
            <w:r>
              <w:t>PDD currently says Charm estimates the pressure front absent an offset well (Section 2). Acquiring one is a PDD change, not just new evidence.</w:t>
            </w:r>
          </w:p>
        </w:tc>
      </w:tr>
      <w:tr w:rsidR="00DB6E33" w14:paraId="3921D17E"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92C58" w14:textId="77777777" w:rsidR="00DB6E33" w:rsidRDefault="00000000">
            <w:r>
              <w:t xml:space="preserve">Vaulted angle: </w:t>
            </w:r>
            <w:r>
              <w:lastRenderedPageBreak/>
              <w:t>framing as background, not primary</w:t>
            </w:r>
          </w:p>
        </w:tc>
        <w:tc>
          <w:tcPr>
            <w:tcW w:w="2160" w:type="dxa"/>
          </w:tcPr>
          <w:p w14:paraId="76E711F1" w14:textId="77777777" w:rsidR="00DB6E33" w:rsidRDefault="00000000">
            <w:pPr>
              <w:cnfStyle w:val="000000100000" w:firstRow="0" w:lastRow="0" w:firstColumn="0" w:lastColumn="0" w:oddVBand="0" w:evenVBand="0" w:oddHBand="1" w:evenHBand="0" w:firstRowFirstColumn="0" w:firstRowLastColumn="0" w:lastRowFirstColumn="0" w:lastRowLastColumn="0"/>
            </w:pPr>
            <w:r>
              <w:lastRenderedPageBreak/>
              <w:t>—</w:t>
            </w:r>
          </w:p>
        </w:tc>
        <w:tc>
          <w:tcPr>
            <w:tcW w:w="2160" w:type="dxa"/>
          </w:tcPr>
          <w:p w14:paraId="19A852EC" w14:textId="77777777" w:rsidR="00DB6E33" w:rsidRDefault="00000000">
            <w:pPr>
              <w:cnfStyle w:val="000000100000" w:firstRow="0" w:lastRow="0" w:firstColumn="0" w:lastColumn="0" w:oddVBand="0" w:evenVBand="0" w:oddHBand="1" w:evenHBand="0" w:firstRowFirstColumn="0" w:firstRowLastColumn="0" w:lastRowFirstColumn="0" w:lastRowLastColumn="0"/>
            </w:pPr>
            <w:r>
              <w:t>NEWLY SETTLED</w:t>
            </w:r>
          </w:p>
        </w:tc>
        <w:tc>
          <w:tcPr>
            <w:tcW w:w="2160" w:type="dxa"/>
          </w:tcPr>
          <w:p w14:paraId="6981F1B0" w14:textId="77777777" w:rsidR="00DB6E33" w:rsidRDefault="00000000">
            <w:pPr>
              <w:cnfStyle w:val="000000100000" w:firstRow="0" w:lastRow="0" w:firstColumn="0" w:lastColumn="0" w:oddVBand="0" w:evenVBand="0" w:oddHBand="1" w:evenHBand="0" w:firstRowFirstColumn="0" w:firstRowLastColumn="0" w:lastRowFirstColumn="0" w:lastRowLastColumn="0"/>
            </w:pPr>
            <w:r>
              <w:t>See Section 5.</w:t>
            </w:r>
          </w:p>
        </w:tc>
      </w:tr>
      <w:tr w:rsidR="00DB6E33" w14:paraId="22FF5EBB" w14:textId="77777777" w:rsidTr="00DB6E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6E9F78" w14:textId="77777777" w:rsidR="00DB6E33" w:rsidRDefault="00000000">
            <w:r>
              <w:t>AOR framing language</w:t>
            </w:r>
          </w:p>
        </w:tc>
        <w:tc>
          <w:tcPr>
            <w:tcW w:w="2160" w:type="dxa"/>
          </w:tcPr>
          <w:p w14:paraId="6BE8B07B" w14:textId="77777777" w:rsidR="00DB6E33"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8C7627B" w14:textId="77777777" w:rsidR="00DB6E33" w:rsidRDefault="00000000">
            <w:pPr>
              <w:cnfStyle w:val="000000010000" w:firstRow="0" w:lastRow="0" w:firstColumn="0" w:lastColumn="0" w:oddVBand="0" w:evenVBand="0" w:oddHBand="0" w:evenHBand="1" w:firstRowFirstColumn="0" w:firstRowLastColumn="0" w:lastRowFirstColumn="0" w:lastRowLastColumn="0"/>
            </w:pPr>
            <w:r>
              <w:t>NEWLY SETTLED</w:t>
            </w:r>
          </w:p>
        </w:tc>
        <w:tc>
          <w:tcPr>
            <w:tcW w:w="2160" w:type="dxa"/>
          </w:tcPr>
          <w:p w14:paraId="7419F600" w14:textId="77777777" w:rsidR="00DB6E33" w:rsidRDefault="00000000">
            <w:pPr>
              <w:cnfStyle w:val="000000010000" w:firstRow="0" w:lastRow="0" w:firstColumn="0" w:lastColumn="0" w:oddVBand="0" w:evenVBand="0" w:oddHBand="0" w:evenHBand="1" w:firstRowFirstColumn="0" w:firstRowLastColumn="0" w:lastRowFirstColumn="0" w:lastRowLastColumn="0"/>
            </w:pPr>
            <w:r>
              <w:t>See Section 3.</w:t>
            </w:r>
          </w:p>
        </w:tc>
      </w:tr>
      <w:tr w:rsidR="00DB6E33" w14:paraId="03182F7F" w14:textId="77777777" w:rsidTr="00DB6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E1E1A8" w14:textId="77777777" w:rsidR="00DB6E33" w:rsidRDefault="00000000">
            <w:r>
              <w:t>Evidence-stacking approach</w:t>
            </w:r>
          </w:p>
        </w:tc>
        <w:tc>
          <w:tcPr>
            <w:tcW w:w="2160" w:type="dxa"/>
          </w:tcPr>
          <w:p w14:paraId="299ACCF0" w14:textId="77777777" w:rsidR="00DB6E33"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2B4E409" w14:textId="77777777" w:rsidR="00DB6E33" w:rsidRDefault="00000000">
            <w:pPr>
              <w:cnfStyle w:val="000000100000" w:firstRow="0" w:lastRow="0" w:firstColumn="0" w:lastColumn="0" w:oddVBand="0" w:evenVBand="0" w:oddHBand="1" w:evenHBand="0" w:firstRowFirstColumn="0" w:firstRowLastColumn="0" w:lastRowFirstColumn="0" w:lastRowLastColumn="0"/>
            </w:pPr>
            <w:r>
              <w:t>NEWLY SETTLED</w:t>
            </w:r>
          </w:p>
        </w:tc>
        <w:tc>
          <w:tcPr>
            <w:tcW w:w="2160" w:type="dxa"/>
          </w:tcPr>
          <w:p w14:paraId="609D06BB" w14:textId="77777777" w:rsidR="00DB6E33" w:rsidRDefault="00000000">
            <w:pPr>
              <w:cnfStyle w:val="000000100000" w:firstRow="0" w:lastRow="0" w:firstColumn="0" w:lastColumn="0" w:oddVBand="0" w:evenVBand="0" w:oddHBand="1" w:evenHBand="0" w:firstRowFirstColumn="0" w:firstRowLastColumn="0" w:lastRowFirstColumn="0" w:lastRowLastColumn="0"/>
            </w:pPr>
            <w:r>
              <w:t>See Section 4 intro.</w:t>
            </w:r>
          </w:p>
        </w:tc>
      </w:tr>
    </w:tbl>
    <w:p w14:paraId="51E2BC67" w14:textId="77777777" w:rsidR="00DB6E33" w:rsidRDefault="00000000">
      <w:pPr>
        <w:pStyle w:val="Heading1"/>
      </w:pPr>
      <w:r>
        <w:t>7. Context, Not Part of This Ask — Bosco 6 Producer Well</w:t>
      </w:r>
    </w:p>
    <w:p w14:paraId="0262AE24" w14:textId="77777777" w:rsidR="00DB6E33" w:rsidRDefault="00000000">
      <w:r>
        <w:t>Casey's parallel track, flagged for awareness only — not part of the buffer-reduction ask itself. Directly relevant to the PDD delta in Section 2: this is the well that would let Charm measure the pressure front instead of estimating it, and collect formation fluid samples the single-well design currently forecloses (PDD Appendix 8).</w:t>
      </w:r>
    </w:p>
    <w:p w14:paraId="1EBF42B8" w14:textId="77777777" w:rsidR="00DB6E33" w:rsidRDefault="00000000">
      <w:pPr>
        <w:pStyle w:val="ListBullet"/>
      </w:pPr>
      <w:r>
        <w:t xml:space="preserve">Offset well ~200 ft away; Casey: </w:t>
      </w:r>
      <w:r>
        <w:rPr>
          <w:i/>
        </w:rPr>
        <w:t>“That’s an incredible opportunity, number one, to pull that well into our existing permit, but if and when we wanted to just simply acquire the well for monitoring, this is a slam dunk for isometric,” and “it’s 200 feet away, and that would really help us nail down even more nuanced of like organic phase versus aqueous phase.”</w:t>
      </w:r>
    </w:p>
    <w:p w14:paraId="2A6F43B2" w14:textId="77777777" w:rsidR="00DB6E33" w:rsidRDefault="00000000">
      <w:pPr>
        <w:pStyle w:val="ListBullet"/>
      </w:pPr>
      <w:r>
        <w:t>Deeper sands below ~3,500 ft are the priority injection target if the well is worked over; can't do both shallow and deep simultaneously without capping the lower sands.</w:t>
      </w:r>
    </w:p>
    <w:p w14:paraId="0984CCA6" w14:textId="77777777" w:rsidR="00DB6E33" w:rsidRDefault="00000000">
      <w:pPr>
        <w:pStyle w:val="ListBullet"/>
      </w:pPr>
      <w:r>
        <w:t xml:space="preserve">Framed as an expensive fallback if the buffer reduction request fails, and as a seed planted ahead of budget season. Casey: </w:t>
      </w:r>
      <w:r>
        <w:rPr>
          <w:i/>
        </w:rPr>
        <w:t>“So I’ve been like using this salt and pepper message this week in terms of it’s almost budget season and just sort of planting that seed that that would be if this request as we’re discussing it somehow fails to do the job, expensive alternative in terms of how to build the technical defense.”</w:t>
      </w:r>
    </w:p>
    <w:p w14:paraId="46ABACA2" w14:textId="77777777" w:rsidR="00DB6E33" w:rsidRDefault="00000000">
      <w:pPr>
        <w:pStyle w:val="Heading1"/>
      </w:pPr>
      <w:r>
        <w:t>8. Next Steps</w:t>
      </w:r>
    </w:p>
    <w:p w14:paraId="430AA2C3" w14:textId="77777777" w:rsidR="00DB6E33" w:rsidRDefault="00000000">
      <w:pPr>
        <w:pStyle w:val="ListNumber"/>
      </w:pPr>
      <w:r>
        <w:t>Casey and Jen fill in the flagged sections above (Sections 3–6).</w:t>
      </w:r>
    </w:p>
    <w:p w14:paraId="0A12D980" w14:textId="77777777" w:rsidR="00DB6E33" w:rsidRDefault="00000000">
      <w:pPr>
        <w:pStyle w:val="ListNumber"/>
      </w:pPr>
      <w:r>
        <w:t>One internal review pass before this becomes the basis for the external letter to Isometric.</w:t>
      </w:r>
    </w:p>
    <w:p w14:paraId="102EC1FE" w14:textId="77777777" w:rsidR="00DB6E33" w:rsidRDefault="00000000">
      <w:pPr>
        <w:pStyle w:val="ListNumber"/>
      </w:pPr>
      <w:r>
        <w:t>Coordinate via the existing chat thread — per the meeting: “does that chat thread we’re all working through, does that work to keep each other updated?”</w:t>
      </w:r>
    </w:p>
    <w:p w14:paraId="6CD4F37B" w14:textId="77777777" w:rsidR="00DB6E33" w:rsidRDefault="00DB6E33"/>
    <w:p w14:paraId="408D9717" w14:textId="77777777" w:rsidR="00DB6E33" w:rsidRDefault="00000000">
      <w:r>
        <w:rPr>
          <w:b/>
        </w:rPr>
        <w:t xml:space="preserve">Sources: </w:t>
      </w:r>
      <w:r>
        <w:rPr>
          <w:sz w:val="18"/>
        </w:rPr>
        <w:t>JZ's internal alignment memo, “The Basco Buffer Case” (9/4/26, Google Doc, DRAFT/unstamped); Slack thread, #buffer-pool channel, JZ's 9/4/26 post and replies; Granola meeting “Buffer pool scoping,” Sep 11, 2026 (Max Lavine), transcript-summary excerpts pulled per note item; Charm PDD v1.12, Appendix 8 (Basco 6 Permanence Monitoring and Permit Compliance Plan). Protocol and module language not independently re-verified against Certify — see Section 6, “Confirm protocol clause numbers, module versions, and refund terms in Certify.”</w:t>
      </w:r>
    </w:p>
    <w:sectPr w:rsidR="00DB6E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108593">
    <w:abstractNumId w:val="8"/>
  </w:num>
  <w:num w:numId="2" w16cid:durableId="690960376">
    <w:abstractNumId w:val="6"/>
  </w:num>
  <w:num w:numId="3" w16cid:durableId="398093338">
    <w:abstractNumId w:val="5"/>
  </w:num>
  <w:num w:numId="4" w16cid:durableId="55129027">
    <w:abstractNumId w:val="4"/>
  </w:num>
  <w:num w:numId="5" w16cid:durableId="1835686292">
    <w:abstractNumId w:val="7"/>
  </w:num>
  <w:num w:numId="6" w16cid:durableId="1805274209">
    <w:abstractNumId w:val="3"/>
  </w:num>
  <w:num w:numId="7" w16cid:durableId="236213532">
    <w:abstractNumId w:val="2"/>
  </w:num>
  <w:num w:numId="8" w16cid:durableId="1136684062">
    <w:abstractNumId w:val="1"/>
  </w:num>
  <w:num w:numId="9" w16cid:durableId="7023699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989"/>
    <w:rsid w:val="00034616"/>
    <w:rsid w:val="0006063C"/>
    <w:rsid w:val="0015074B"/>
    <w:rsid w:val="0029639D"/>
    <w:rsid w:val="00326F90"/>
    <w:rsid w:val="009F1C28"/>
    <w:rsid w:val="00AA1D8D"/>
    <w:rsid w:val="00B47730"/>
    <w:rsid w:val="00CB0664"/>
    <w:rsid w:val="00DB6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578C3"/>
  <w14:defaultImageDpi w14:val="300"/>
  <w15:docId w15:val="{D1BE2E63-6DF8-434F-8A2B-5F3078C3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3</cp:revision>
  <dcterms:created xsi:type="dcterms:W3CDTF">2013-12-23T23:15:00Z</dcterms:created>
  <dcterms:modified xsi:type="dcterms:W3CDTF">2026-09-14T16:10:00Z</dcterms:modified>
  <cp:category/>
</cp:coreProperties>
</file>