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Isometric Registry Review: Charm vs Geological Storage Peers</w:t>
      </w:r>
    </w:p>
    <w:p>
      <w:pPr>
        <w:pStyle w:val="Subtitle"/>
      </w:pPr>
      <w:r>
        <w:t>Internal, 2026-09-14</w:t>
      </w:r>
    </w:p>
    <w:p>
      <w:pPr>
        <w:pStyle w:val="Heading1"/>
      </w:pPr>
      <w:r>
        <w:t>Charm vs the geological-storage peers on the Isometric registry — synthesis and opportunity register</w:t>
      </w:r>
    </w:p>
    <w:p>
      <w:r>
        <w:t>Prepared 2026-09-14 for Max Lavine (Charm MRV lead). Internal decision document.</w:t>
      </w:r>
    </w:p>
    <w:p>
      <w:r>
        <w:rPr>
          <w:b/>
        </w:rPr>
        <w:t>How to read this.</w:t>
      </w:r>
      <w:r>
        <w:t xml:space="preserve"> Every quotation below is carried forward word-for-word from one of the six input files in this folder (</w:t>
      </w:r>
      <w:r>
        <w:rPr>
          <w:rFonts w:ascii="Consolas" w:hAnsi="Consolas" w:eastAsia="Consolas"/>
        </w:rPr>
        <w:t>01_registry_census.md</w:t>
      </w:r>
      <w:r>
        <w:t xml:space="preserve">, </w:t>
      </w:r>
      <w:r>
        <w:rPr>
          <w:rFonts w:ascii="Consolas" w:hAnsi="Consolas" w:eastAsia="Consolas"/>
        </w:rPr>
        <w:t>02_charm_pdd_baseline.md</w:t>
      </w:r>
      <w:r>
        <w:t xml:space="preserve">, </w:t>
      </w:r>
      <w:r>
        <w:rPr>
          <w:rFonts w:ascii="Consolas" w:hAnsi="Consolas" w:eastAsia="Consolas"/>
        </w:rPr>
        <w:t>03_peer_nulife_ontario_avenue.md</w:t>
      </w:r>
      <w:r>
        <w:t xml:space="preserve">, </w:t>
      </w:r>
      <w:r>
        <w:rPr>
          <w:rFonts w:ascii="Consolas" w:hAnsi="Consolas" w:eastAsia="Consolas"/>
        </w:rPr>
        <w:t>04_peer_vaulted_great_plains.md</w:t>
      </w:r>
      <w:r>
        <w:t xml:space="preserve">, </w:t>
      </w:r>
      <w:r>
        <w:rPr>
          <w:rFonts w:ascii="Consolas" w:hAnsi="Consolas" w:eastAsia="Consolas"/>
        </w:rPr>
        <w:t>05_peer_vaulted_tire.md</w:t>
      </w:r>
      <w:r>
        <w:t xml:space="preserve">, </w:t>
      </w:r>
      <w:r>
        <w:rPr>
          <w:rFonts w:ascii="Consolas" w:hAnsi="Consolas" w:eastAsia="Consolas"/>
        </w:rPr>
        <w:t>06_charm_registry_footprint.md</w:t>
      </w:r>
      <w:r>
        <w:t>), or from the public Isometric "Bio-oil Geological Storage" protocol pages (v1.0 and v1.2) read in the headless browser this session. Page numbers are the ones the input files give (PDF page numbers of the underlying document). Where a number is arithmetic on quoted figures it says "arithmetic". Where the sources do not settle a point it says "not determinable from the sources read". Nothing in this document is estimated.</w:t>
      </w:r>
    </w:p>
    <w:p>
      <w:r>
        <w:t xml:space="preserve">Short glossary (plain words for the terms that keep coming up): </w:t>
      </w:r>
      <w:r>
        <w:rPr>
          <w:b/>
        </w:rPr>
        <w:t>PDD</w:t>
      </w:r>
      <w:r>
        <w:t xml:space="preserve"> = Project Design Document, the long form a project files once describing how it works. </w:t>
      </w:r>
      <w:r>
        <w:rPr>
          <w:b/>
        </w:rPr>
        <w:t>GHG Statement Report</w:t>
      </w:r>
      <w:r>
        <w:t xml:space="preserve"> = the short form filed with every batch of removals sent for verification. </w:t>
      </w:r>
      <w:r>
        <w:rPr>
          <w:b/>
        </w:rPr>
        <w:t>Verification report</w:t>
      </w:r>
      <w:r>
        <w:t xml:space="preserve"> = the independent checker's write-up. </w:t>
      </w:r>
      <w:r>
        <w:rPr>
          <w:b/>
        </w:rPr>
        <w:t>Datapoint</w:t>
      </w:r>
      <w:r>
        <w:t xml:space="preserve"> = one input number shown on the registry's public calculation page for a removal. </w:t>
      </w:r>
      <w:r>
        <w:rPr>
          <w:b/>
        </w:rPr>
        <w:t>Method A / Method B</w:t>
      </w:r>
      <w:r>
        <w:t xml:space="preserve"> = the protocol's two options for how often bio-oil carbon content is lab-tested (every batch, or a sample of batches with a conservative estimate for the rest). </w:t>
      </w:r>
      <w:r>
        <w:rPr>
          <w:b/>
        </w:rPr>
        <w:t>Materiality</w:t>
      </w:r>
      <w:r>
        <w:t xml:space="preserve"> = the size below which a small emission may be left out.</w:t>
      </w:r>
    </w:p>
    <w:p>
      <w:pPr>
        <w:pStyle w:val="Heading2"/>
      </w:pPr>
      <w:r>
        <w:t>1. Registry picture</w:t>
      </w:r>
    </w:p>
    <w:p>
      <w:r>
        <w:rPr>
          <w:b/>
        </w:rPr>
        <w:t>Total projects: 75.</w:t>
      </w:r>
      <w:r>
        <w:t xml:space="preserve"> Census: "The list page header reads </w:t>
      </w:r>
      <w:r>
        <w:rPr>
          <w:rFonts w:ascii="Consolas" w:hAnsi="Consolas" w:eastAsia="Consolas"/>
        </w:rPr>
        <w:t>Active projects (75)</w:t>
      </w:r>
      <w:r>
        <w:t xml:space="preserve">; the Table view showed 50 rows on page 1 and 25 rows on page 2 with the </w:t>
      </w:r>
      <w:r>
        <w:rPr>
          <w:rFonts w:ascii="Consolas" w:hAnsi="Consolas" w:eastAsia="Consolas"/>
        </w:rPr>
        <w:t>Next page</w:t>
      </w:r>
      <w:r>
        <w:t xml:space="preserve"> button disabled".</w:t>
      </w:r>
    </w:p>
    <w:p>
      <w:r>
        <w:rPr>
          <w:b/>
        </w:rPr>
        <w:t>Status labels (quoted from the registry):</w:t>
      </w:r>
      <w:r>
        <w:t xml:space="preserve"> "Its project status labels, exactly as shown on the list cards and in the filter panel, are </w:t>
      </w:r>
      <w:r>
        <w:rPr>
          <w:rFonts w:ascii="Consolas" w:hAnsi="Consolas" w:eastAsia="Consolas"/>
        </w:rPr>
        <w:t>Validated</w:t>
      </w:r>
      <w:r>
        <w:t xml:space="preserve">, </w:t>
      </w:r>
      <w:r>
        <w:rPr>
          <w:rFonts w:ascii="Consolas" w:hAnsi="Consolas" w:eastAsia="Consolas"/>
        </w:rPr>
        <w:t>Under validation</w:t>
      </w:r>
      <w:r>
        <w:t xml:space="preserve">, </w:t>
      </w:r>
      <w:r>
        <w:rPr>
          <w:rFonts w:ascii="Consolas" w:hAnsi="Consolas" w:eastAsia="Consolas"/>
        </w:rPr>
        <w:t>Validation unsuccessful</w:t>
      </w:r>
      <w:r>
        <w:t xml:space="preserve"> and </w:t>
      </w:r>
      <w:r>
        <w:rPr>
          <w:rFonts w:ascii="Consolas" w:hAnsi="Consolas" w:eastAsia="Consolas"/>
        </w:rPr>
        <w:t>Canceled</w:t>
      </w:r>
      <w:r>
        <w:t>." Counts: "</w:t>
      </w:r>
      <w:r>
        <w:rPr>
          <w:rFonts w:ascii="Consolas" w:hAnsi="Consolas" w:eastAsia="Consolas"/>
        </w:rPr>
        <w:t>Canceled (2)</w:t>
      </w:r>
      <w:r>
        <w:t xml:space="preserve">, </w:t>
      </w:r>
      <w:r>
        <w:rPr>
          <w:rFonts w:ascii="Consolas" w:hAnsi="Consolas" w:eastAsia="Consolas"/>
        </w:rPr>
        <w:t>Under validation (39)</w:t>
      </w:r>
      <w:r>
        <w:t xml:space="preserve">, </w:t>
      </w:r>
      <w:r>
        <w:rPr>
          <w:rFonts w:ascii="Consolas" w:hAnsi="Consolas" w:eastAsia="Consolas"/>
        </w:rPr>
        <w:t>Validated (33)</w:t>
      </w:r>
      <w:r>
        <w:t xml:space="preserve">, </w:t>
      </w:r>
      <w:r>
        <w:rPr>
          <w:rFonts w:ascii="Consolas" w:hAnsi="Consolas" w:eastAsia="Consolas"/>
        </w:rPr>
        <w:t>Validation unsuccessful (1)</w:t>
      </w:r>
      <w:r>
        <w:t>". The registry does not use the word "verified" as a project status: "</w:t>
      </w:r>
      <w:r>
        <w:rPr>
          <w:b/>
        </w:rPr>
        <w:t>33 projects carry the `Validated` label.</w:t>
      </w:r>
      <w:r>
        <w:t xml:space="preserve"> Of those 33, </w:t>
      </w:r>
      <w:r>
        <w:rPr>
          <w:b/>
        </w:rPr>
        <w:t>29 have a non-zero `Certificates issued` figure</w:t>
      </w:r>
      <w:r>
        <w:t>".</w:t>
      </w:r>
    </w:p>
    <w:p>
      <w:r>
        <w:rPr>
          <w:b/>
        </w:rPr>
        <w:t>Ranked table — all 33 Validated projects by `Certificates issued`</w:t>
      </w:r>
      <w:r>
        <w:t xml:space="preserve"> (figures as the census read them from each project page; rank order is the census's):</w:t>
      </w:r>
    </w:p>
    <w:p>
      <w:pPr>
        <w:sectPr>
          <w:pgSz w:w="12240" w:h="15840"/>
          <w:pgMar w:top="1296" w:right="1296" w:bottom="1296" w:left="1296" w:header="720" w:footer="720" w:gutter="0"/>
          <w:cols w:space="720"/>
          <w:docGrid w:linePitch="360"/>
        </w:sectPr>
      </w:pPr>
    </w:p>
    <w:tbl>
      <w:tblPr>
        <w:tblStyle w:val="TableGrid"/>
        <w:tblW w:type="auto" w:w="0"/>
        <w:tblLook w:firstColumn="1" w:firstRow="1" w:lastColumn="0" w:lastRow="0" w:noHBand="0" w:noVBand="1" w:val="04A0"/>
      </w:tblPr>
      <w:tblGrid>
        <w:gridCol w:w="1893"/>
        <w:gridCol w:w="1893"/>
        <w:gridCol w:w="1893"/>
        <w:gridCol w:w="1893"/>
        <w:gridCol w:w="1893"/>
        <w:gridCol w:w="1893"/>
        <w:gridCol w:w="1893"/>
      </w:tblGrid>
      <w:tr>
        <w:tc>
          <w:tcPr>
            <w:tcW w:type="dxa" w:w="1893"/>
            <w:shd w:val="clear" w:color="auto" w:fill="D6E4F0"/>
          </w:tcPr>
          <w:p>
            <w:pPr>
              <w:spacing w:after="0"/>
            </w:pPr>
            <w:r>
              <w:rPr>
                <w:b/>
                <w:sz w:val="18"/>
              </w:rPr>
              <w:t>Rank</w:t>
            </w:r>
          </w:p>
        </w:tc>
        <w:tc>
          <w:tcPr>
            <w:tcW w:type="dxa" w:w="1893"/>
            <w:shd w:val="clear" w:color="auto" w:fill="D6E4F0"/>
          </w:tcPr>
          <w:p>
            <w:pPr>
              <w:spacing w:after="0"/>
            </w:pPr>
            <w:r>
              <w:rPr>
                <w:b/>
                <w:sz w:val="18"/>
              </w:rPr>
              <w:t>Project</w:t>
            </w:r>
          </w:p>
        </w:tc>
        <w:tc>
          <w:tcPr>
            <w:tcW w:type="dxa" w:w="1893"/>
            <w:shd w:val="clear" w:color="auto" w:fill="D6E4F0"/>
          </w:tcPr>
          <w:p>
            <w:pPr>
              <w:spacing w:after="0"/>
            </w:pPr>
            <w:r>
              <w:rPr>
                <w:b/>
                <w:sz w:val="18"/>
              </w:rPr>
              <w:t>Supplier</w:t>
            </w:r>
          </w:p>
        </w:tc>
        <w:tc>
          <w:tcPr>
            <w:tcW w:type="dxa" w:w="1893"/>
            <w:shd w:val="clear" w:color="auto" w:fill="D6E4F0"/>
          </w:tcPr>
          <w:p>
            <w:pPr>
              <w:spacing w:after="0"/>
            </w:pPr>
            <w:r>
              <w:rPr>
                <w:b/>
                <w:sz w:val="18"/>
              </w:rPr>
              <w:t>Pathway label</w:t>
            </w:r>
          </w:p>
        </w:tc>
        <w:tc>
          <w:tcPr>
            <w:tcW w:type="dxa" w:w="1893"/>
            <w:shd w:val="clear" w:color="auto" w:fill="D6E4F0"/>
          </w:tcPr>
          <w:p>
            <w:pPr>
              <w:spacing w:after="0"/>
            </w:pPr>
            <w:r>
              <w:rPr>
                <w:b/>
                <w:sz w:val="18"/>
              </w:rPr>
              <w:t>Certificates issued</w:t>
            </w:r>
          </w:p>
        </w:tc>
        <w:tc>
          <w:tcPr>
            <w:tcW w:type="dxa" w:w="1893"/>
            <w:shd w:val="clear" w:color="auto" w:fill="D6E4F0"/>
          </w:tcPr>
          <w:p>
            <w:pPr>
              <w:spacing w:after="0"/>
            </w:pPr>
            <w:r>
              <w:rPr>
                <w:b/>
                <w:sz w:val="18"/>
              </w:rPr>
              <w:t>Retired</w:t>
            </w:r>
          </w:p>
        </w:tc>
        <w:tc>
          <w:tcPr>
            <w:tcW w:type="dxa" w:w="1893"/>
            <w:shd w:val="clear" w:color="auto" w:fill="D6E4F0"/>
          </w:tcPr>
          <w:p>
            <w:pPr>
              <w:spacing w:after="0"/>
            </w:pPr>
            <w:r>
              <w:rPr>
                <w:b/>
                <w:sz w:val="18"/>
              </w:rPr>
              <w:t>Verifier</w:t>
            </w:r>
          </w:p>
        </w:tc>
      </w:tr>
      <w:tr>
        <w:tc>
          <w:tcPr>
            <w:tcW w:type="dxa" w:w="1893"/>
          </w:tcPr>
          <w:p>
            <w:pPr>
              <w:spacing w:after="0"/>
            </w:pPr>
            <w:r>
              <w:rPr>
                <w:sz w:val="18"/>
              </w:rPr>
              <w:t>1</w:t>
            </w:r>
          </w:p>
        </w:tc>
        <w:tc>
          <w:tcPr>
            <w:tcW w:type="dxa" w:w="1893"/>
          </w:tcPr>
          <w:p>
            <w:pPr>
              <w:spacing w:after="0"/>
            </w:pPr>
            <w:r>
              <w:rPr>
                <w:sz w:val="18"/>
              </w:rPr>
              <w:t>Great Plains Organic Waste Sequestration</w:t>
            </w:r>
          </w:p>
        </w:tc>
        <w:tc>
          <w:tcPr>
            <w:tcW w:type="dxa" w:w="1893"/>
          </w:tcPr>
          <w:p>
            <w:pPr>
              <w:spacing w:after="0"/>
            </w:pPr>
            <w:r>
              <w:rPr>
                <w:sz w:val="18"/>
              </w:rPr>
              <w:t>Vaulted Deep</w:t>
            </w:r>
          </w:p>
        </w:tc>
        <w:tc>
          <w:tcPr>
            <w:tcW w:type="dxa" w:w="1893"/>
          </w:tcPr>
          <w:p>
            <w:pPr>
              <w:spacing w:after="0"/>
            </w:pPr>
            <w:r>
              <w:rPr>
                <w:sz w:val="18"/>
              </w:rPr>
              <w:t>Biomass Geological Storage</w:t>
            </w:r>
          </w:p>
        </w:tc>
        <w:tc>
          <w:tcPr>
            <w:tcW w:type="dxa" w:w="1893"/>
          </w:tcPr>
          <w:p>
            <w:pPr>
              <w:spacing w:after="0"/>
            </w:pPr>
            <w:r>
              <w:rPr>
                <w:sz w:val="18"/>
              </w:rPr>
              <w:t>70,234.61</w:t>
            </w:r>
          </w:p>
        </w:tc>
        <w:tc>
          <w:tcPr>
            <w:tcW w:type="dxa" w:w="1893"/>
          </w:tcPr>
          <w:p>
            <w:pPr>
              <w:spacing w:after="0"/>
            </w:pPr>
            <w:r>
              <w:rPr>
                <w:sz w:val="18"/>
              </w:rPr>
              <w:t>16,523.692</w:t>
            </w:r>
          </w:p>
        </w:tc>
        <w:tc>
          <w:tcPr>
            <w:tcW w:type="dxa" w:w="1893"/>
          </w:tcPr>
          <w:p>
            <w:pPr>
              <w:spacing w:after="0"/>
            </w:pPr>
            <w:r>
              <w:rPr>
                <w:sz w:val="18"/>
              </w:rPr>
              <w:t>350Solutions</w:t>
            </w:r>
          </w:p>
        </w:tc>
      </w:tr>
      <w:tr>
        <w:tc>
          <w:tcPr>
            <w:tcW w:type="dxa" w:w="1893"/>
          </w:tcPr>
          <w:p>
            <w:pPr>
              <w:spacing w:after="0"/>
            </w:pPr>
            <w:r>
              <w:rPr>
                <w:sz w:val="18"/>
              </w:rPr>
              <w:t>2</w:t>
            </w:r>
          </w:p>
        </w:tc>
        <w:tc>
          <w:tcPr>
            <w:tcW w:type="dxa" w:w="1893"/>
          </w:tcPr>
          <w:p>
            <w:pPr>
              <w:spacing w:after="0"/>
            </w:pPr>
            <w:r>
              <w:rPr>
                <w:sz w:val="18"/>
              </w:rPr>
              <w:t>Reforesting the Brazilian Amazon Project 1</w:t>
            </w:r>
          </w:p>
        </w:tc>
        <w:tc>
          <w:tcPr>
            <w:tcW w:type="dxa" w:w="1893"/>
          </w:tcPr>
          <w:p>
            <w:pPr>
              <w:spacing w:after="0"/>
            </w:pPr>
            <w:r>
              <w:rPr>
                <w:sz w:val="18"/>
              </w:rPr>
              <w:t>Mombak</w:t>
            </w:r>
          </w:p>
        </w:tc>
        <w:tc>
          <w:tcPr>
            <w:tcW w:type="dxa" w:w="1893"/>
          </w:tcPr>
          <w:p>
            <w:pPr>
              <w:spacing w:after="0"/>
            </w:pPr>
            <w:r>
              <w:rPr>
                <w:sz w:val="18"/>
              </w:rPr>
              <w:t>Reforestation</w:t>
            </w:r>
          </w:p>
        </w:tc>
        <w:tc>
          <w:tcPr>
            <w:tcW w:type="dxa" w:w="1893"/>
          </w:tcPr>
          <w:p>
            <w:pPr>
              <w:spacing w:after="0"/>
            </w:pPr>
            <w:r>
              <w:rPr>
                <w:sz w:val="18"/>
              </w:rPr>
              <w:t>21,771.53</w:t>
            </w:r>
          </w:p>
        </w:tc>
        <w:tc>
          <w:tcPr>
            <w:tcW w:type="dxa" w:w="1893"/>
          </w:tcPr>
          <w:p>
            <w:pPr>
              <w:spacing w:after="0"/>
            </w:pPr>
            <w:r>
              <w:rPr>
                <w:sz w:val="18"/>
              </w:rPr>
              <w:t>0</w:t>
            </w:r>
          </w:p>
        </w:tc>
        <w:tc>
          <w:tcPr>
            <w:tcW w:type="dxa" w:w="1893"/>
          </w:tcPr>
          <w:p>
            <w:pPr>
              <w:spacing w:after="0"/>
            </w:pPr>
            <w:r>
              <w:rPr>
                <w:sz w:val="18"/>
              </w:rPr>
              <w:t>350Solutions</w:t>
            </w:r>
          </w:p>
        </w:tc>
      </w:tr>
      <w:tr>
        <w:tc>
          <w:tcPr>
            <w:tcW w:type="dxa" w:w="1893"/>
          </w:tcPr>
          <w:p>
            <w:pPr>
              <w:spacing w:after="0"/>
            </w:pPr>
            <w:r>
              <w:rPr>
                <w:sz w:val="18"/>
              </w:rPr>
              <w:t>3</w:t>
            </w:r>
          </w:p>
        </w:tc>
        <w:tc>
          <w:tcPr>
            <w:tcW w:type="dxa" w:w="1893"/>
          </w:tcPr>
          <w:p>
            <w:pPr>
              <w:spacing w:after="0"/>
            </w:pPr>
            <w:r>
              <w:rPr>
                <w:sz w:val="18"/>
              </w:rPr>
              <w:t>Loblolly Project</w:t>
            </w:r>
          </w:p>
        </w:tc>
        <w:tc>
          <w:tcPr>
            <w:tcW w:type="dxa" w:w="1893"/>
          </w:tcPr>
          <w:p>
            <w:pPr>
              <w:spacing w:after="0"/>
            </w:pPr>
            <w:r>
              <w:rPr>
                <w:sz w:val="18"/>
              </w:rPr>
              <w:t>Graphyte</w:t>
            </w:r>
          </w:p>
        </w:tc>
        <w:tc>
          <w:tcPr>
            <w:tcW w:type="dxa" w:w="1893"/>
          </w:tcPr>
          <w:p>
            <w:pPr>
              <w:spacing w:after="0"/>
            </w:pPr>
            <w:r>
              <w:rPr>
                <w:sz w:val="18"/>
              </w:rPr>
              <w:t>Subsurface Biomass Carbon Removal and Storage</w:t>
            </w:r>
          </w:p>
        </w:tc>
        <w:tc>
          <w:tcPr>
            <w:tcW w:type="dxa" w:w="1893"/>
          </w:tcPr>
          <w:p>
            <w:pPr>
              <w:spacing w:after="0"/>
            </w:pPr>
            <w:r>
              <w:rPr>
                <w:sz w:val="18"/>
              </w:rPr>
              <w:t>20,444.62</w:t>
            </w:r>
          </w:p>
        </w:tc>
        <w:tc>
          <w:tcPr>
            <w:tcW w:type="dxa" w:w="1893"/>
          </w:tcPr>
          <w:p>
            <w:pPr>
              <w:spacing w:after="0"/>
            </w:pPr>
            <w:r>
              <w:rPr>
                <w:sz w:val="18"/>
              </w:rPr>
              <w:t>13,237.05</w:t>
            </w:r>
          </w:p>
        </w:tc>
        <w:tc>
          <w:tcPr>
            <w:tcW w:type="dxa" w:w="1893"/>
          </w:tcPr>
          <w:p>
            <w:pPr>
              <w:spacing w:after="0"/>
            </w:pPr>
            <w:r>
              <w:rPr>
                <w:sz w:val="18"/>
              </w:rPr>
              <w:t>350Solutions</w:t>
            </w:r>
          </w:p>
        </w:tc>
      </w:tr>
      <w:tr>
        <w:tc>
          <w:tcPr>
            <w:tcW w:type="dxa" w:w="1893"/>
          </w:tcPr>
          <w:p>
            <w:pPr>
              <w:spacing w:after="0"/>
            </w:pPr>
            <w:r>
              <w:rPr>
                <w:sz w:val="18"/>
              </w:rPr>
              <w:t>4</w:t>
            </w:r>
          </w:p>
        </w:tc>
        <w:tc>
          <w:tcPr>
            <w:tcW w:type="dxa" w:w="1893"/>
          </w:tcPr>
          <w:p>
            <w:pPr>
              <w:spacing w:after="0"/>
            </w:pPr>
            <w:r>
              <w:rPr>
                <w:sz w:val="18"/>
              </w:rPr>
              <w:t>US Southeast Enhanced Weathering Project</w:t>
            </w:r>
          </w:p>
        </w:tc>
        <w:tc>
          <w:tcPr>
            <w:tcW w:type="dxa" w:w="1893"/>
          </w:tcPr>
          <w:p>
            <w:pPr>
              <w:spacing w:after="0"/>
            </w:pPr>
            <w:r>
              <w:rPr>
                <w:sz w:val="18"/>
              </w:rPr>
              <w:t>Lithos</w:t>
            </w:r>
          </w:p>
        </w:tc>
        <w:tc>
          <w:tcPr>
            <w:tcW w:type="dxa" w:w="1893"/>
          </w:tcPr>
          <w:p>
            <w:pPr>
              <w:spacing w:after="0"/>
            </w:pPr>
            <w:r>
              <w:rPr>
                <w:sz w:val="18"/>
              </w:rPr>
              <w:t>Enhanced Weathering in Agriculture</w:t>
            </w:r>
          </w:p>
        </w:tc>
        <w:tc>
          <w:tcPr>
            <w:tcW w:type="dxa" w:w="1893"/>
          </w:tcPr>
          <w:p>
            <w:pPr>
              <w:spacing w:after="0"/>
            </w:pPr>
            <w:r>
              <w:rPr>
                <w:sz w:val="18"/>
              </w:rPr>
              <w:t>12,332.95</w:t>
            </w:r>
          </w:p>
        </w:tc>
        <w:tc>
          <w:tcPr>
            <w:tcW w:type="dxa" w:w="1893"/>
          </w:tcPr>
          <w:p>
            <w:pPr>
              <w:spacing w:after="0"/>
            </w:pPr>
            <w:r>
              <w:rPr>
                <w:sz w:val="18"/>
              </w:rPr>
              <w:t>1,397.302</w:t>
            </w:r>
          </w:p>
        </w:tc>
        <w:tc>
          <w:tcPr>
            <w:tcW w:type="dxa" w:w="1893"/>
          </w:tcPr>
          <w:p>
            <w:pPr>
              <w:spacing w:after="0"/>
            </w:pPr>
            <w:r>
              <w:rPr>
                <w:sz w:val="18"/>
              </w:rPr>
              <w:t>350Solutions</w:t>
            </w:r>
          </w:p>
        </w:tc>
      </w:tr>
      <w:tr>
        <w:tc>
          <w:tcPr>
            <w:tcW w:type="dxa" w:w="1893"/>
          </w:tcPr>
          <w:p>
            <w:pPr>
              <w:spacing w:after="0"/>
            </w:pPr>
            <w:r>
              <w:rPr>
                <w:sz w:val="18"/>
              </w:rPr>
              <w:t>5</w:t>
            </w:r>
          </w:p>
        </w:tc>
        <w:tc>
          <w:tcPr>
            <w:tcW w:type="dxa" w:w="1893"/>
          </w:tcPr>
          <w:p>
            <w:pPr>
              <w:spacing w:after="0"/>
            </w:pPr>
            <w:r>
              <w:rPr>
                <w:b/>
                <w:sz w:val="18"/>
              </w:rPr>
              <w:t>Charm Bio-oil Geologic Storage</w:t>
            </w:r>
          </w:p>
        </w:tc>
        <w:tc>
          <w:tcPr>
            <w:tcW w:type="dxa" w:w="1893"/>
          </w:tcPr>
          <w:p>
            <w:pPr>
              <w:spacing w:after="0"/>
            </w:pPr>
            <w:r>
              <w:rPr>
                <w:sz w:val="18"/>
              </w:rPr>
              <w:t>Charm Industrial</w:t>
            </w:r>
          </w:p>
        </w:tc>
        <w:tc>
          <w:tcPr>
            <w:tcW w:type="dxa" w:w="1893"/>
          </w:tcPr>
          <w:p>
            <w:pPr>
              <w:spacing w:after="0"/>
            </w:pPr>
            <w:r>
              <w:rPr>
                <w:sz w:val="18"/>
              </w:rPr>
              <w:t>Bio-oil Geological Storage</w:t>
            </w:r>
          </w:p>
        </w:tc>
        <w:tc>
          <w:tcPr>
            <w:tcW w:type="dxa" w:w="1893"/>
          </w:tcPr>
          <w:p>
            <w:pPr>
              <w:spacing w:after="0"/>
            </w:pPr>
            <w:r>
              <w:rPr>
                <w:b/>
                <w:sz w:val="18"/>
              </w:rPr>
              <w:t>8,426.77</w:t>
            </w:r>
          </w:p>
        </w:tc>
        <w:tc>
          <w:tcPr>
            <w:tcW w:type="dxa" w:w="1893"/>
          </w:tcPr>
          <w:p>
            <w:pPr>
              <w:spacing w:after="0"/>
            </w:pPr>
            <w:r>
              <w:rPr>
                <w:sz w:val="18"/>
              </w:rPr>
              <w:t>5,105.13</w:t>
            </w:r>
          </w:p>
        </w:tc>
        <w:tc>
          <w:tcPr>
            <w:tcW w:type="dxa" w:w="1893"/>
          </w:tcPr>
          <w:p>
            <w:pPr>
              <w:spacing w:after="0"/>
            </w:pPr>
            <w:r>
              <w:rPr>
                <w:sz w:val="18"/>
              </w:rPr>
              <w:t>350Solutions</w:t>
            </w:r>
          </w:p>
        </w:tc>
      </w:tr>
      <w:tr>
        <w:tc>
          <w:tcPr>
            <w:tcW w:type="dxa" w:w="1893"/>
          </w:tcPr>
          <w:p>
            <w:pPr>
              <w:spacing w:after="0"/>
            </w:pPr>
            <w:r>
              <w:rPr>
                <w:sz w:val="18"/>
              </w:rPr>
              <w:t>6</w:t>
            </w:r>
          </w:p>
        </w:tc>
        <w:tc>
          <w:tcPr>
            <w:tcW w:type="dxa" w:w="1893"/>
          </w:tcPr>
          <w:p>
            <w:pPr>
              <w:spacing w:after="0"/>
            </w:pPr>
            <w:r>
              <w:rPr>
                <w:sz w:val="18"/>
              </w:rPr>
              <w:t>Humboldt Sawmill Company (HSC)</w:t>
            </w:r>
          </w:p>
        </w:tc>
        <w:tc>
          <w:tcPr>
            <w:tcW w:type="dxa" w:w="1893"/>
          </w:tcPr>
          <w:p>
            <w:pPr>
              <w:spacing w:after="0"/>
            </w:pPr>
            <w:r>
              <w:rPr>
                <w:sz w:val="18"/>
              </w:rPr>
              <w:t>Pacific Biochar</w:t>
            </w:r>
          </w:p>
        </w:tc>
        <w:tc>
          <w:tcPr>
            <w:tcW w:type="dxa" w:w="1893"/>
          </w:tcPr>
          <w:p>
            <w:pPr>
              <w:spacing w:after="0"/>
            </w:pPr>
            <w:r>
              <w:rPr>
                <w:sz w:val="18"/>
              </w:rPr>
              <w:t>Biochar Production and Storage</w:t>
            </w:r>
          </w:p>
        </w:tc>
        <w:tc>
          <w:tcPr>
            <w:tcW w:type="dxa" w:w="1893"/>
          </w:tcPr>
          <w:p>
            <w:pPr>
              <w:spacing w:after="0"/>
            </w:pPr>
            <w:r>
              <w:rPr>
                <w:sz w:val="18"/>
              </w:rPr>
              <w:t>6,967.97</w:t>
            </w:r>
          </w:p>
        </w:tc>
        <w:tc>
          <w:tcPr>
            <w:tcW w:type="dxa" w:w="1893"/>
          </w:tcPr>
          <w:p>
            <w:pPr>
              <w:spacing w:after="0"/>
            </w:pPr>
            <w:r>
              <w:rPr>
                <w:sz w:val="18"/>
              </w:rPr>
              <w:t>3,199.354</w:t>
            </w:r>
          </w:p>
        </w:tc>
        <w:tc>
          <w:tcPr>
            <w:tcW w:type="dxa" w:w="1893"/>
          </w:tcPr>
          <w:p>
            <w:pPr>
              <w:spacing w:after="0"/>
            </w:pPr>
            <w:r>
              <w:rPr>
                <w:sz w:val="18"/>
              </w:rPr>
              <w:t>350Solutions</w:t>
            </w:r>
          </w:p>
        </w:tc>
      </w:tr>
      <w:tr>
        <w:tc>
          <w:tcPr>
            <w:tcW w:type="dxa" w:w="1893"/>
          </w:tcPr>
          <w:p>
            <w:pPr>
              <w:spacing w:after="0"/>
            </w:pPr>
            <w:r>
              <w:rPr>
                <w:sz w:val="18"/>
              </w:rPr>
              <w:t>7</w:t>
            </w:r>
          </w:p>
        </w:tc>
        <w:tc>
          <w:tcPr>
            <w:tcW w:type="dxa" w:w="1893"/>
          </w:tcPr>
          <w:p>
            <w:pPr>
              <w:spacing w:after="0"/>
            </w:pPr>
            <w:r>
              <w:rPr>
                <w:sz w:val="18"/>
              </w:rPr>
              <w:t>Darjeeling Revival: Monsoon Harvest</w:t>
            </w:r>
          </w:p>
        </w:tc>
        <w:tc>
          <w:tcPr>
            <w:tcW w:type="dxa" w:w="1893"/>
          </w:tcPr>
          <w:p>
            <w:pPr>
              <w:spacing w:after="0"/>
            </w:pPr>
            <w:r>
              <w:rPr>
                <w:sz w:val="18"/>
              </w:rPr>
              <w:t>Alt Carbon</w:t>
            </w:r>
          </w:p>
        </w:tc>
        <w:tc>
          <w:tcPr>
            <w:tcW w:type="dxa" w:w="1893"/>
          </w:tcPr>
          <w:p>
            <w:pPr>
              <w:spacing w:after="0"/>
            </w:pPr>
            <w:r>
              <w:rPr>
                <w:sz w:val="18"/>
              </w:rPr>
              <w:t>Enhanced Weathering in Agriculture</w:t>
            </w:r>
          </w:p>
        </w:tc>
        <w:tc>
          <w:tcPr>
            <w:tcW w:type="dxa" w:w="1893"/>
          </w:tcPr>
          <w:p>
            <w:pPr>
              <w:spacing w:after="0"/>
            </w:pPr>
            <w:r>
              <w:rPr>
                <w:sz w:val="18"/>
              </w:rPr>
              <w:t>6,579.94</w:t>
            </w:r>
          </w:p>
        </w:tc>
        <w:tc>
          <w:tcPr>
            <w:tcW w:type="dxa" w:w="1893"/>
          </w:tcPr>
          <w:p>
            <w:pPr>
              <w:spacing w:after="0"/>
            </w:pPr>
            <w:r>
              <w:rPr>
                <w:sz w:val="18"/>
              </w:rPr>
              <w:t>919</w:t>
            </w:r>
          </w:p>
        </w:tc>
        <w:tc>
          <w:tcPr>
            <w:tcW w:type="dxa" w:w="1893"/>
          </w:tcPr>
          <w:p>
            <w:pPr>
              <w:spacing w:after="0"/>
            </w:pPr>
            <w:r>
              <w:rPr>
                <w:sz w:val="18"/>
              </w:rPr>
              <w:t>350Solutions</w:t>
            </w:r>
          </w:p>
        </w:tc>
      </w:tr>
      <w:tr>
        <w:tc>
          <w:tcPr>
            <w:tcW w:type="dxa" w:w="1893"/>
          </w:tcPr>
          <w:p>
            <w:pPr>
              <w:spacing w:after="0"/>
            </w:pPr>
            <w:r>
              <w:rPr>
                <w:sz w:val="18"/>
              </w:rPr>
              <w:t>8</w:t>
            </w:r>
          </w:p>
        </w:tc>
        <w:tc>
          <w:tcPr>
            <w:tcW w:type="dxa" w:w="1893"/>
          </w:tcPr>
          <w:p>
            <w:pPr>
              <w:spacing w:after="0"/>
            </w:pPr>
            <w:r>
              <w:rPr>
                <w:sz w:val="18"/>
              </w:rPr>
              <w:t>Bioenergie Frauenfeld</w:t>
            </w:r>
          </w:p>
        </w:tc>
        <w:tc>
          <w:tcPr>
            <w:tcW w:type="dxa" w:w="1893"/>
          </w:tcPr>
          <w:p>
            <w:pPr>
              <w:spacing w:after="0"/>
            </w:pPr>
            <w:r>
              <w:rPr>
                <w:sz w:val="18"/>
              </w:rPr>
              <w:t>Bioenergie Frauenfeld</w:t>
            </w:r>
          </w:p>
        </w:tc>
        <w:tc>
          <w:tcPr>
            <w:tcW w:type="dxa" w:w="1893"/>
          </w:tcPr>
          <w:p>
            <w:pPr>
              <w:spacing w:after="0"/>
            </w:pPr>
            <w:r>
              <w:rPr>
                <w:sz w:val="18"/>
              </w:rPr>
              <w:t>Biochar Production and Storage</w:t>
            </w:r>
          </w:p>
        </w:tc>
        <w:tc>
          <w:tcPr>
            <w:tcW w:type="dxa" w:w="1893"/>
          </w:tcPr>
          <w:p>
            <w:pPr>
              <w:spacing w:after="0"/>
            </w:pPr>
            <w:r>
              <w:rPr>
                <w:sz w:val="18"/>
              </w:rPr>
              <w:t>6,065.36</w:t>
            </w:r>
          </w:p>
        </w:tc>
        <w:tc>
          <w:tcPr>
            <w:tcW w:type="dxa" w:w="1893"/>
          </w:tcPr>
          <w:p>
            <w:pPr>
              <w:spacing w:after="0"/>
            </w:pPr>
            <w:r>
              <w:rPr>
                <w:sz w:val="18"/>
              </w:rPr>
              <w:t>7.006</w:t>
            </w:r>
          </w:p>
        </w:tc>
        <w:tc>
          <w:tcPr>
            <w:tcW w:type="dxa" w:w="1893"/>
          </w:tcPr>
          <w:p>
            <w:pPr>
              <w:spacing w:after="0"/>
            </w:pPr>
            <w:r>
              <w:rPr>
                <w:sz w:val="18"/>
              </w:rPr>
              <w:t>Normec Verifavia</w:t>
            </w:r>
          </w:p>
        </w:tc>
      </w:tr>
      <w:tr>
        <w:tc>
          <w:tcPr>
            <w:tcW w:type="dxa" w:w="1893"/>
          </w:tcPr>
          <w:p>
            <w:pPr>
              <w:spacing w:after="0"/>
            </w:pPr>
            <w:r>
              <w:rPr>
                <w:sz w:val="18"/>
              </w:rPr>
              <w:t>9</w:t>
            </w:r>
          </w:p>
        </w:tc>
        <w:tc>
          <w:tcPr>
            <w:tcW w:type="dxa" w:w="1893"/>
          </w:tcPr>
          <w:p>
            <w:pPr>
              <w:spacing w:after="0"/>
            </w:pPr>
            <w:r>
              <w:rPr>
                <w:sz w:val="18"/>
              </w:rPr>
              <w:t>Nova Scotia Mineral OAE Project</w:t>
            </w:r>
          </w:p>
        </w:tc>
        <w:tc>
          <w:tcPr>
            <w:tcW w:type="dxa" w:w="1893"/>
          </w:tcPr>
          <w:p>
            <w:pPr>
              <w:spacing w:after="0"/>
            </w:pPr>
            <w:r>
              <w:rPr>
                <w:sz w:val="18"/>
              </w:rPr>
              <w:t>Planetary</w:t>
            </w:r>
          </w:p>
        </w:tc>
        <w:tc>
          <w:tcPr>
            <w:tcW w:type="dxa" w:w="1893"/>
          </w:tcPr>
          <w:p>
            <w:pPr>
              <w:spacing w:after="0"/>
            </w:pPr>
            <w:r>
              <w:rPr>
                <w:sz w:val="18"/>
              </w:rPr>
              <w:t>Ocean Alkalinity Enhancement from Coastal Outfalls</w:t>
            </w:r>
          </w:p>
        </w:tc>
        <w:tc>
          <w:tcPr>
            <w:tcW w:type="dxa" w:w="1893"/>
          </w:tcPr>
          <w:p>
            <w:pPr>
              <w:spacing w:after="0"/>
            </w:pPr>
            <w:r>
              <w:rPr>
                <w:sz w:val="18"/>
              </w:rPr>
              <w:t>4,853.6</w:t>
            </w:r>
          </w:p>
        </w:tc>
        <w:tc>
          <w:tcPr>
            <w:tcW w:type="dxa" w:w="1893"/>
          </w:tcPr>
          <w:p>
            <w:pPr>
              <w:spacing w:after="0"/>
            </w:pPr>
            <w:r>
              <w:rPr>
                <w:sz w:val="18"/>
              </w:rPr>
              <w:t>2,059</w:t>
            </w:r>
          </w:p>
        </w:tc>
        <w:tc>
          <w:tcPr>
            <w:tcW w:type="dxa" w:w="1893"/>
          </w:tcPr>
          <w:p>
            <w:pPr>
              <w:spacing w:after="0"/>
            </w:pPr>
            <w:r>
              <w:rPr>
                <w:sz w:val="18"/>
              </w:rPr>
              <w:t>350Solutions</w:t>
            </w:r>
          </w:p>
        </w:tc>
      </w:tr>
      <w:tr>
        <w:tc>
          <w:tcPr>
            <w:tcW w:type="dxa" w:w="1893"/>
          </w:tcPr>
          <w:p>
            <w:pPr>
              <w:spacing w:after="0"/>
            </w:pPr>
            <w:r>
              <w:rPr>
                <w:sz w:val="18"/>
              </w:rPr>
              <w:t>10</w:t>
            </w:r>
          </w:p>
        </w:tc>
        <w:tc>
          <w:tcPr>
            <w:tcW w:type="dxa" w:w="1893"/>
          </w:tcPr>
          <w:p>
            <w:pPr>
              <w:spacing w:after="0"/>
            </w:pPr>
            <w:r>
              <w:rPr>
                <w:sz w:val="18"/>
              </w:rPr>
              <w:t>Darjeeling Revival: Alt x MOL</w:t>
            </w:r>
          </w:p>
        </w:tc>
        <w:tc>
          <w:tcPr>
            <w:tcW w:type="dxa" w:w="1893"/>
          </w:tcPr>
          <w:p>
            <w:pPr>
              <w:spacing w:after="0"/>
            </w:pPr>
            <w:r>
              <w:rPr>
                <w:sz w:val="18"/>
              </w:rPr>
              <w:t>Alt Carbon</w:t>
            </w:r>
          </w:p>
        </w:tc>
        <w:tc>
          <w:tcPr>
            <w:tcW w:type="dxa" w:w="1893"/>
          </w:tcPr>
          <w:p>
            <w:pPr>
              <w:spacing w:after="0"/>
            </w:pPr>
            <w:r>
              <w:rPr>
                <w:sz w:val="18"/>
              </w:rPr>
              <w:t>Enhanced Weathering in Agriculture</w:t>
            </w:r>
          </w:p>
        </w:tc>
        <w:tc>
          <w:tcPr>
            <w:tcW w:type="dxa" w:w="1893"/>
          </w:tcPr>
          <w:p>
            <w:pPr>
              <w:spacing w:after="0"/>
            </w:pPr>
            <w:r>
              <w:rPr>
                <w:sz w:val="18"/>
              </w:rPr>
              <w:t>2,986.72</w:t>
            </w:r>
          </w:p>
        </w:tc>
        <w:tc>
          <w:tcPr>
            <w:tcW w:type="dxa" w:w="1893"/>
          </w:tcPr>
          <w:p>
            <w:pPr>
              <w:spacing w:after="0"/>
            </w:pPr>
            <w:r>
              <w:rPr>
                <w:sz w:val="18"/>
              </w:rPr>
              <w:t>0</w:t>
            </w:r>
          </w:p>
        </w:tc>
        <w:tc>
          <w:tcPr>
            <w:tcW w:type="dxa" w:w="1893"/>
          </w:tcPr>
          <w:p>
            <w:pPr>
              <w:spacing w:after="0"/>
            </w:pPr>
            <w:r>
              <w:rPr>
                <w:sz w:val="18"/>
              </w:rPr>
              <w:t>350Solutions</w:t>
            </w:r>
          </w:p>
        </w:tc>
      </w:tr>
      <w:tr>
        <w:tc>
          <w:tcPr>
            <w:tcW w:type="dxa" w:w="1893"/>
          </w:tcPr>
          <w:p>
            <w:pPr>
              <w:spacing w:after="0"/>
            </w:pPr>
            <w:r>
              <w:rPr>
                <w:sz w:val="18"/>
              </w:rPr>
              <w:t>11</w:t>
            </w:r>
          </w:p>
        </w:tc>
        <w:tc>
          <w:tcPr>
            <w:tcW w:type="dxa" w:w="1893"/>
          </w:tcPr>
          <w:p>
            <w:pPr>
              <w:spacing w:after="0"/>
            </w:pPr>
            <w:r>
              <w:rPr>
                <w:sz w:val="18"/>
              </w:rPr>
              <w:t>Burney Forest Power v1.2</w:t>
            </w:r>
          </w:p>
        </w:tc>
        <w:tc>
          <w:tcPr>
            <w:tcW w:type="dxa" w:w="1893"/>
          </w:tcPr>
          <w:p>
            <w:pPr>
              <w:spacing w:after="0"/>
            </w:pPr>
            <w:r>
              <w:rPr>
                <w:sz w:val="18"/>
              </w:rPr>
              <w:t>Biochar Solutions</w:t>
            </w:r>
          </w:p>
        </w:tc>
        <w:tc>
          <w:tcPr>
            <w:tcW w:type="dxa" w:w="1893"/>
          </w:tcPr>
          <w:p>
            <w:pPr>
              <w:spacing w:after="0"/>
            </w:pPr>
            <w:r>
              <w:rPr>
                <w:sz w:val="18"/>
              </w:rPr>
              <w:t>Biochar Production and Storage</w:t>
            </w:r>
          </w:p>
        </w:tc>
        <w:tc>
          <w:tcPr>
            <w:tcW w:type="dxa" w:w="1893"/>
          </w:tcPr>
          <w:p>
            <w:pPr>
              <w:spacing w:after="0"/>
            </w:pPr>
            <w:r>
              <w:rPr>
                <w:sz w:val="18"/>
              </w:rPr>
              <w:t>2,821.91</w:t>
            </w:r>
          </w:p>
        </w:tc>
        <w:tc>
          <w:tcPr>
            <w:tcW w:type="dxa" w:w="1893"/>
          </w:tcPr>
          <w:p>
            <w:pPr>
              <w:spacing w:after="0"/>
            </w:pPr>
            <w:r>
              <w:rPr>
                <w:sz w:val="18"/>
              </w:rPr>
              <w:t>0</w:t>
            </w:r>
          </w:p>
        </w:tc>
        <w:tc>
          <w:tcPr>
            <w:tcW w:type="dxa" w:w="1893"/>
          </w:tcPr>
          <w:p>
            <w:pPr>
              <w:spacing w:after="0"/>
            </w:pPr>
            <w:r>
              <w:rPr>
                <w:sz w:val="18"/>
              </w:rPr>
              <w:t>350Solutions</w:t>
            </w:r>
          </w:p>
        </w:tc>
      </w:tr>
      <w:tr>
        <w:tc>
          <w:tcPr>
            <w:tcW w:type="dxa" w:w="1893"/>
          </w:tcPr>
          <w:p>
            <w:pPr>
              <w:spacing w:after="0"/>
            </w:pPr>
            <w:r>
              <w:rPr>
                <w:sz w:val="18"/>
              </w:rPr>
              <w:t>12</w:t>
            </w:r>
          </w:p>
        </w:tc>
        <w:tc>
          <w:tcPr>
            <w:tcW w:type="dxa" w:w="1893"/>
          </w:tcPr>
          <w:p>
            <w:pPr>
              <w:spacing w:after="0"/>
            </w:pPr>
            <w:r>
              <w:rPr>
                <w:sz w:val="18"/>
              </w:rPr>
              <w:t>TIRE Project</w:t>
            </w:r>
          </w:p>
        </w:tc>
        <w:tc>
          <w:tcPr>
            <w:tcW w:type="dxa" w:w="1893"/>
          </w:tcPr>
          <w:p>
            <w:pPr>
              <w:spacing w:after="0"/>
            </w:pPr>
            <w:r>
              <w:rPr>
                <w:sz w:val="18"/>
              </w:rPr>
              <w:t>Vaulted Deep</w:t>
            </w:r>
          </w:p>
        </w:tc>
        <w:tc>
          <w:tcPr>
            <w:tcW w:type="dxa" w:w="1893"/>
          </w:tcPr>
          <w:p>
            <w:pPr>
              <w:spacing w:after="0"/>
            </w:pPr>
            <w:r>
              <w:rPr>
                <w:sz w:val="18"/>
              </w:rPr>
              <w:t>Biomass Geological Storage</w:t>
            </w:r>
          </w:p>
        </w:tc>
        <w:tc>
          <w:tcPr>
            <w:tcW w:type="dxa" w:w="1893"/>
          </w:tcPr>
          <w:p>
            <w:pPr>
              <w:spacing w:after="0"/>
            </w:pPr>
            <w:r>
              <w:rPr>
                <w:sz w:val="18"/>
              </w:rPr>
              <w:t>2,774.85</w:t>
            </w:r>
          </w:p>
        </w:tc>
        <w:tc>
          <w:tcPr>
            <w:tcW w:type="dxa" w:w="1893"/>
          </w:tcPr>
          <w:p>
            <w:pPr>
              <w:spacing w:after="0"/>
            </w:pPr>
            <w:r>
              <w:rPr>
                <w:sz w:val="18"/>
              </w:rPr>
              <w:t>0</w:t>
            </w:r>
          </w:p>
        </w:tc>
        <w:tc>
          <w:tcPr>
            <w:tcW w:type="dxa" w:w="1893"/>
          </w:tcPr>
          <w:p>
            <w:pPr>
              <w:spacing w:after="0"/>
            </w:pPr>
            <w:r>
              <w:rPr>
                <w:sz w:val="18"/>
              </w:rPr>
              <w:t>350Solutions</w:t>
            </w:r>
          </w:p>
        </w:tc>
      </w:tr>
      <w:tr>
        <w:tc>
          <w:tcPr>
            <w:tcW w:type="dxa" w:w="1893"/>
          </w:tcPr>
          <w:p>
            <w:pPr>
              <w:spacing w:after="0"/>
            </w:pPr>
            <w:r>
              <w:rPr>
                <w:sz w:val="18"/>
              </w:rPr>
              <w:t>13</w:t>
            </w:r>
          </w:p>
        </w:tc>
        <w:tc>
          <w:tcPr>
            <w:tcW w:type="dxa" w:w="1893"/>
          </w:tcPr>
          <w:p>
            <w:pPr>
              <w:spacing w:after="0"/>
            </w:pPr>
            <w:r>
              <w:rPr>
                <w:sz w:val="18"/>
              </w:rPr>
              <w:t>Project Bhumisara</w:t>
            </w:r>
          </w:p>
        </w:tc>
        <w:tc>
          <w:tcPr>
            <w:tcW w:type="dxa" w:w="1893"/>
          </w:tcPr>
          <w:p>
            <w:pPr>
              <w:spacing w:after="0"/>
            </w:pPr>
            <w:r>
              <w:rPr>
                <w:sz w:val="18"/>
              </w:rPr>
              <w:t>Earthrevive Technologies</w:t>
            </w:r>
          </w:p>
        </w:tc>
        <w:tc>
          <w:tcPr>
            <w:tcW w:type="dxa" w:w="1893"/>
          </w:tcPr>
          <w:p>
            <w:pPr>
              <w:spacing w:after="0"/>
            </w:pPr>
            <w:r>
              <w:rPr>
                <w:sz w:val="18"/>
              </w:rPr>
              <w:t>Biochar Production and Storage</w:t>
            </w:r>
          </w:p>
        </w:tc>
        <w:tc>
          <w:tcPr>
            <w:tcW w:type="dxa" w:w="1893"/>
          </w:tcPr>
          <w:p>
            <w:pPr>
              <w:spacing w:after="0"/>
            </w:pPr>
            <w:r>
              <w:rPr>
                <w:sz w:val="18"/>
              </w:rPr>
              <w:t>2,089.21</w:t>
            </w:r>
          </w:p>
        </w:tc>
        <w:tc>
          <w:tcPr>
            <w:tcW w:type="dxa" w:w="1893"/>
          </w:tcPr>
          <w:p>
            <w:pPr>
              <w:spacing w:after="0"/>
            </w:pPr>
            <w:r>
              <w:rPr>
                <w:sz w:val="18"/>
              </w:rPr>
              <w:t>0</w:t>
            </w:r>
          </w:p>
        </w:tc>
        <w:tc>
          <w:tcPr>
            <w:tcW w:type="dxa" w:w="1893"/>
          </w:tcPr>
          <w:p>
            <w:pPr>
              <w:spacing w:after="0"/>
            </w:pPr>
            <w:r>
              <w:rPr>
                <w:sz w:val="18"/>
              </w:rPr>
              <w:t>Carbon Check</w:t>
            </w:r>
          </w:p>
        </w:tc>
      </w:tr>
      <w:tr>
        <w:tc>
          <w:tcPr>
            <w:tcW w:type="dxa" w:w="1893"/>
          </w:tcPr>
          <w:p>
            <w:pPr>
              <w:spacing w:after="0"/>
            </w:pPr>
            <w:r>
              <w:rPr>
                <w:sz w:val="18"/>
              </w:rPr>
              <w:t>14</w:t>
            </w:r>
          </w:p>
        </w:tc>
        <w:tc>
          <w:tcPr>
            <w:tcW w:type="dxa" w:w="1893"/>
          </w:tcPr>
          <w:p>
            <w:pPr>
              <w:spacing w:after="0"/>
            </w:pPr>
            <w:r>
              <w:rPr>
                <w:sz w:val="18"/>
              </w:rPr>
              <w:t>Ontario Avenue Bio-Oil Sequestration</w:t>
            </w:r>
          </w:p>
        </w:tc>
        <w:tc>
          <w:tcPr>
            <w:tcW w:type="dxa" w:w="1893"/>
          </w:tcPr>
          <w:p>
            <w:pPr>
              <w:spacing w:after="0"/>
            </w:pPr>
            <w:r>
              <w:rPr>
                <w:sz w:val="18"/>
              </w:rPr>
              <w:t>NULIFE GreenTech</w:t>
            </w:r>
          </w:p>
        </w:tc>
        <w:tc>
          <w:tcPr>
            <w:tcW w:type="dxa" w:w="1893"/>
          </w:tcPr>
          <w:p>
            <w:pPr>
              <w:spacing w:after="0"/>
            </w:pPr>
            <w:r>
              <w:rPr>
                <w:sz w:val="18"/>
              </w:rPr>
              <w:t>Bio-oil Geological Storage</w:t>
            </w:r>
          </w:p>
        </w:tc>
        <w:tc>
          <w:tcPr>
            <w:tcW w:type="dxa" w:w="1893"/>
          </w:tcPr>
          <w:p>
            <w:pPr>
              <w:spacing w:after="0"/>
            </w:pPr>
            <w:r>
              <w:rPr>
                <w:sz w:val="18"/>
              </w:rPr>
              <w:t>1,404.08</w:t>
            </w:r>
          </w:p>
        </w:tc>
        <w:tc>
          <w:tcPr>
            <w:tcW w:type="dxa" w:w="1893"/>
          </w:tcPr>
          <w:p>
            <w:pPr>
              <w:spacing w:after="0"/>
            </w:pPr>
            <w:r>
              <w:rPr>
                <w:sz w:val="18"/>
              </w:rPr>
              <w:t>329.619</w:t>
            </w:r>
          </w:p>
        </w:tc>
        <w:tc>
          <w:tcPr>
            <w:tcW w:type="dxa" w:w="1893"/>
          </w:tcPr>
          <w:p>
            <w:pPr>
              <w:spacing w:after="0"/>
            </w:pPr>
            <w:r>
              <w:rPr>
                <w:sz w:val="18"/>
              </w:rPr>
              <w:t>Normec Verifavia</w:t>
            </w:r>
          </w:p>
        </w:tc>
      </w:tr>
      <w:tr>
        <w:tc>
          <w:tcPr>
            <w:tcW w:type="dxa" w:w="1893"/>
          </w:tcPr>
          <w:p>
            <w:pPr>
              <w:spacing w:after="0"/>
            </w:pPr>
            <w:r>
              <w:rPr>
                <w:sz w:val="18"/>
              </w:rPr>
              <w:t>15</w:t>
            </w:r>
          </w:p>
        </w:tc>
        <w:tc>
          <w:tcPr>
            <w:tcW w:type="dxa" w:w="1893"/>
          </w:tcPr>
          <w:p>
            <w:pPr>
              <w:spacing w:after="0"/>
            </w:pPr>
            <w:r>
              <w:rPr>
                <w:sz w:val="18"/>
              </w:rPr>
              <w:t>New England WAE Project</w:t>
            </w:r>
          </w:p>
        </w:tc>
        <w:tc>
          <w:tcPr>
            <w:tcW w:type="dxa" w:w="1893"/>
          </w:tcPr>
          <w:p>
            <w:pPr>
              <w:spacing w:after="0"/>
            </w:pPr>
            <w:r>
              <w:rPr>
                <w:sz w:val="18"/>
              </w:rPr>
              <w:t>CREW Carbon</w:t>
            </w:r>
          </w:p>
        </w:tc>
        <w:tc>
          <w:tcPr>
            <w:tcW w:type="dxa" w:w="1893"/>
          </w:tcPr>
          <w:p>
            <w:pPr>
              <w:spacing w:after="0"/>
            </w:pPr>
            <w:r>
              <w:rPr>
                <w:sz w:val="18"/>
              </w:rPr>
              <w:t>Wastewater Alkalinity Enhancement</w:t>
            </w:r>
          </w:p>
        </w:tc>
        <w:tc>
          <w:tcPr>
            <w:tcW w:type="dxa" w:w="1893"/>
          </w:tcPr>
          <w:p>
            <w:pPr>
              <w:spacing w:after="0"/>
            </w:pPr>
            <w:r>
              <w:rPr>
                <w:sz w:val="18"/>
              </w:rPr>
              <w:t>1,374.73</w:t>
            </w:r>
          </w:p>
        </w:tc>
        <w:tc>
          <w:tcPr>
            <w:tcW w:type="dxa" w:w="1893"/>
          </w:tcPr>
          <w:p>
            <w:pPr>
              <w:spacing w:after="0"/>
            </w:pPr>
            <w:r>
              <w:rPr>
                <w:sz w:val="18"/>
              </w:rPr>
              <w:t>280</w:t>
            </w:r>
          </w:p>
        </w:tc>
        <w:tc>
          <w:tcPr>
            <w:tcW w:type="dxa" w:w="1893"/>
          </w:tcPr>
          <w:p>
            <w:pPr>
              <w:spacing w:after="0"/>
            </w:pPr>
            <w:r>
              <w:rPr>
                <w:sz w:val="18"/>
              </w:rPr>
              <w:t>350Solutions</w:t>
            </w:r>
          </w:p>
        </w:tc>
      </w:tr>
      <w:tr>
        <w:tc>
          <w:tcPr>
            <w:tcW w:type="dxa" w:w="1893"/>
          </w:tcPr>
          <w:p>
            <w:pPr>
              <w:spacing w:after="0"/>
            </w:pPr>
            <w:r>
              <w:rPr>
                <w:sz w:val="18"/>
              </w:rPr>
              <w:t>16</w:t>
            </w:r>
          </w:p>
        </w:tc>
        <w:tc>
          <w:tcPr>
            <w:tcW w:type="dxa" w:w="1893"/>
          </w:tcPr>
          <w:p>
            <w:pPr>
              <w:spacing w:after="0"/>
            </w:pPr>
            <w:r>
              <w:rPr>
                <w:sz w:val="18"/>
              </w:rPr>
              <w:t>ERW Deployment: Seoni &amp; North Chhattisgarh, India</w:t>
            </w:r>
          </w:p>
        </w:tc>
        <w:tc>
          <w:tcPr>
            <w:tcW w:type="dxa" w:w="1893"/>
          </w:tcPr>
          <w:p>
            <w:pPr>
              <w:spacing w:after="0"/>
            </w:pPr>
            <w:r>
              <w:rPr>
                <w:sz w:val="18"/>
              </w:rPr>
              <w:t>Mati</w:t>
            </w:r>
          </w:p>
        </w:tc>
        <w:tc>
          <w:tcPr>
            <w:tcW w:type="dxa" w:w="1893"/>
          </w:tcPr>
          <w:p>
            <w:pPr>
              <w:spacing w:after="0"/>
            </w:pPr>
            <w:r>
              <w:rPr>
                <w:sz w:val="18"/>
              </w:rPr>
              <w:t>Enhanced Weathering in Agriculture</w:t>
            </w:r>
          </w:p>
        </w:tc>
        <w:tc>
          <w:tcPr>
            <w:tcW w:type="dxa" w:w="1893"/>
          </w:tcPr>
          <w:p>
            <w:pPr>
              <w:spacing w:after="0"/>
            </w:pPr>
            <w:r>
              <w:rPr>
                <w:sz w:val="18"/>
              </w:rPr>
              <w:t>492.4</w:t>
            </w:r>
          </w:p>
        </w:tc>
        <w:tc>
          <w:tcPr>
            <w:tcW w:type="dxa" w:w="1893"/>
          </w:tcPr>
          <w:p>
            <w:pPr>
              <w:spacing w:after="0"/>
            </w:pPr>
            <w:r>
              <w:rPr>
                <w:sz w:val="18"/>
              </w:rPr>
              <w:t>100</w:t>
            </w:r>
          </w:p>
        </w:tc>
        <w:tc>
          <w:tcPr>
            <w:tcW w:type="dxa" w:w="1893"/>
          </w:tcPr>
          <w:p>
            <w:pPr>
              <w:spacing w:after="0"/>
            </w:pPr>
            <w:r>
              <w:rPr>
                <w:sz w:val="18"/>
              </w:rPr>
              <w:t>Earthood</w:t>
            </w:r>
          </w:p>
        </w:tc>
      </w:tr>
      <w:tr>
        <w:tc>
          <w:tcPr>
            <w:tcW w:type="dxa" w:w="1893"/>
          </w:tcPr>
          <w:p>
            <w:pPr>
              <w:spacing w:after="0"/>
            </w:pPr>
            <w:r>
              <w:rPr>
                <w:sz w:val="18"/>
              </w:rPr>
              <w:t>17</w:t>
            </w:r>
          </w:p>
        </w:tc>
        <w:tc>
          <w:tcPr>
            <w:tcW w:type="dxa" w:w="1893"/>
          </w:tcPr>
          <w:p>
            <w:pPr>
              <w:spacing w:after="0"/>
            </w:pPr>
            <w:r>
              <w:rPr>
                <w:sz w:val="18"/>
              </w:rPr>
              <w:t>Project Serra da Mantiqueira</w:t>
            </w:r>
          </w:p>
        </w:tc>
        <w:tc>
          <w:tcPr>
            <w:tcW w:type="dxa" w:w="1893"/>
          </w:tcPr>
          <w:p>
            <w:pPr>
              <w:spacing w:after="0"/>
            </w:pPr>
            <w:r>
              <w:rPr>
                <w:sz w:val="18"/>
              </w:rPr>
              <w:t>InPlanet</w:t>
            </w:r>
          </w:p>
        </w:tc>
        <w:tc>
          <w:tcPr>
            <w:tcW w:type="dxa" w:w="1893"/>
          </w:tcPr>
          <w:p>
            <w:pPr>
              <w:spacing w:after="0"/>
            </w:pPr>
            <w:r>
              <w:rPr>
                <w:sz w:val="18"/>
              </w:rPr>
              <w:t>Enhanced Weathering in Agriculture</w:t>
            </w:r>
          </w:p>
        </w:tc>
        <w:tc>
          <w:tcPr>
            <w:tcW w:type="dxa" w:w="1893"/>
          </w:tcPr>
          <w:p>
            <w:pPr>
              <w:spacing w:after="0"/>
            </w:pPr>
            <w:r>
              <w:rPr>
                <w:sz w:val="18"/>
              </w:rPr>
              <w:t>389.42</w:t>
            </w:r>
          </w:p>
        </w:tc>
        <w:tc>
          <w:tcPr>
            <w:tcW w:type="dxa" w:w="1893"/>
          </w:tcPr>
          <w:p>
            <w:pPr>
              <w:spacing w:after="0"/>
            </w:pPr>
            <w:r>
              <w:rPr>
                <w:sz w:val="18"/>
              </w:rPr>
              <w:t>81.025</w:t>
            </w:r>
          </w:p>
        </w:tc>
        <w:tc>
          <w:tcPr>
            <w:tcW w:type="dxa" w:w="1893"/>
          </w:tcPr>
          <w:p>
            <w:pPr>
              <w:spacing w:after="0"/>
            </w:pPr>
            <w:r>
              <w:rPr>
                <w:sz w:val="18"/>
              </w:rPr>
              <w:t>350Solutions</w:t>
            </w:r>
          </w:p>
        </w:tc>
      </w:tr>
      <w:tr>
        <w:tc>
          <w:tcPr>
            <w:tcW w:type="dxa" w:w="1893"/>
          </w:tcPr>
          <w:p>
            <w:pPr>
              <w:spacing w:after="0"/>
            </w:pPr>
            <w:r>
              <w:rPr>
                <w:sz w:val="18"/>
              </w:rPr>
              <w:t>18</w:t>
            </w:r>
          </w:p>
        </w:tc>
        <w:tc>
          <w:tcPr>
            <w:tcW w:type="dxa" w:w="1893"/>
          </w:tcPr>
          <w:p>
            <w:pPr>
              <w:spacing w:after="0"/>
            </w:pPr>
            <w:r>
              <w:rPr>
                <w:sz w:val="18"/>
              </w:rPr>
              <w:t>La Perla</w:t>
            </w:r>
          </w:p>
        </w:tc>
        <w:tc>
          <w:tcPr>
            <w:tcW w:type="dxa" w:w="1893"/>
          </w:tcPr>
          <w:p>
            <w:pPr>
              <w:spacing w:after="0"/>
            </w:pPr>
            <w:r>
              <w:rPr>
                <w:sz w:val="18"/>
              </w:rPr>
              <w:t>Silica</w:t>
            </w:r>
          </w:p>
        </w:tc>
        <w:tc>
          <w:tcPr>
            <w:tcW w:type="dxa" w:w="1893"/>
          </w:tcPr>
          <w:p>
            <w:pPr>
              <w:spacing w:after="0"/>
            </w:pPr>
            <w:r>
              <w:rPr>
                <w:sz w:val="18"/>
              </w:rPr>
              <w:t>Enhanced Weathering in Agriculture</w:t>
            </w:r>
          </w:p>
        </w:tc>
        <w:tc>
          <w:tcPr>
            <w:tcW w:type="dxa" w:w="1893"/>
          </w:tcPr>
          <w:p>
            <w:pPr>
              <w:spacing w:after="0"/>
            </w:pPr>
            <w:r>
              <w:rPr>
                <w:sz w:val="18"/>
              </w:rPr>
              <w:t>322.54</w:t>
            </w:r>
          </w:p>
        </w:tc>
        <w:tc>
          <w:tcPr>
            <w:tcW w:type="dxa" w:w="1893"/>
          </w:tcPr>
          <w:p>
            <w:pPr>
              <w:spacing w:after="0"/>
            </w:pPr>
            <w:r>
              <w:rPr>
                <w:sz w:val="18"/>
              </w:rPr>
              <w:t>0</w:t>
            </w:r>
          </w:p>
        </w:tc>
        <w:tc>
          <w:tcPr>
            <w:tcW w:type="dxa" w:w="1893"/>
          </w:tcPr>
          <w:p>
            <w:pPr>
              <w:spacing w:after="0"/>
            </w:pPr>
            <w:r>
              <w:rPr>
                <w:sz w:val="18"/>
              </w:rPr>
              <w:t>Verifit</w:t>
            </w:r>
          </w:p>
        </w:tc>
      </w:tr>
      <w:tr>
        <w:tc>
          <w:tcPr>
            <w:tcW w:type="dxa" w:w="1893"/>
          </w:tcPr>
          <w:p>
            <w:pPr>
              <w:spacing w:after="0"/>
            </w:pPr>
            <w:r>
              <w:rPr>
                <w:sz w:val="18"/>
              </w:rPr>
              <w:t>19</w:t>
            </w:r>
          </w:p>
        </w:tc>
        <w:tc>
          <w:tcPr>
            <w:tcW w:type="dxa" w:w="1893"/>
          </w:tcPr>
          <w:p>
            <w:pPr>
              <w:spacing w:after="0"/>
            </w:pPr>
            <w:r>
              <w:rPr>
                <w:sz w:val="18"/>
              </w:rPr>
              <w:t>Project Araçari</w:t>
            </w:r>
          </w:p>
        </w:tc>
        <w:tc>
          <w:tcPr>
            <w:tcW w:type="dxa" w:w="1893"/>
          </w:tcPr>
          <w:p>
            <w:pPr>
              <w:spacing w:after="0"/>
            </w:pPr>
            <w:r>
              <w:rPr>
                <w:sz w:val="18"/>
              </w:rPr>
              <w:t>InPlanet</w:t>
            </w:r>
          </w:p>
        </w:tc>
        <w:tc>
          <w:tcPr>
            <w:tcW w:type="dxa" w:w="1893"/>
          </w:tcPr>
          <w:p>
            <w:pPr>
              <w:spacing w:after="0"/>
            </w:pPr>
            <w:r>
              <w:rPr>
                <w:sz w:val="18"/>
              </w:rPr>
              <w:t>Enhanced Weathering in Agriculture</w:t>
            </w:r>
          </w:p>
        </w:tc>
        <w:tc>
          <w:tcPr>
            <w:tcW w:type="dxa" w:w="1893"/>
          </w:tcPr>
          <w:p>
            <w:pPr>
              <w:spacing w:after="0"/>
            </w:pPr>
            <w:r>
              <w:rPr>
                <w:sz w:val="18"/>
              </w:rPr>
              <w:t>319.97</w:t>
            </w:r>
          </w:p>
        </w:tc>
        <w:tc>
          <w:tcPr>
            <w:tcW w:type="dxa" w:w="1893"/>
          </w:tcPr>
          <w:p>
            <w:pPr>
              <w:spacing w:after="0"/>
            </w:pPr>
            <w:r>
              <w:rPr>
                <w:sz w:val="18"/>
              </w:rPr>
              <w:t>0</w:t>
            </w:r>
          </w:p>
        </w:tc>
        <w:tc>
          <w:tcPr>
            <w:tcW w:type="dxa" w:w="1893"/>
          </w:tcPr>
          <w:p>
            <w:pPr>
              <w:spacing w:after="0"/>
            </w:pPr>
            <w:r>
              <w:rPr>
                <w:sz w:val="18"/>
              </w:rPr>
              <w:t>350Solutions</w:t>
            </w:r>
          </w:p>
        </w:tc>
      </w:tr>
      <w:tr>
        <w:tc>
          <w:tcPr>
            <w:tcW w:type="dxa" w:w="1893"/>
          </w:tcPr>
          <w:p>
            <w:pPr>
              <w:spacing w:after="0"/>
            </w:pPr>
            <w:r>
              <w:rPr>
                <w:sz w:val="18"/>
              </w:rPr>
              <w:t>20</w:t>
            </w:r>
          </w:p>
        </w:tc>
        <w:tc>
          <w:tcPr>
            <w:tcW w:type="dxa" w:w="1893"/>
          </w:tcPr>
          <w:p>
            <w:pPr>
              <w:spacing w:after="0"/>
            </w:pPr>
            <w:r>
              <w:rPr>
                <w:sz w:val="18"/>
              </w:rPr>
              <w:t>Project Carcará</w:t>
            </w:r>
          </w:p>
        </w:tc>
        <w:tc>
          <w:tcPr>
            <w:tcW w:type="dxa" w:w="1893"/>
          </w:tcPr>
          <w:p>
            <w:pPr>
              <w:spacing w:after="0"/>
            </w:pPr>
            <w:r>
              <w:rPr>
                <w:sz w:val="18"/>
              </w:rPr>
              <w:t>Terradot</w:t>
            </w:r>
          </w:p>
        </w:tc>
        <w:tc>
          <w:tcPr>
            <w:tcW w:type="dxa" w:w="1893"/>
          </w:tcPr>
          <w:p>
            <w:pPr>
              <w:spacing w:after="0"/>
            </w:pPr>
            <w:r>
              <w:rPr>
                <w:sz w:val="18"/>
              </w:rPr>
              <w:t>Enhanced Weathering in Agriculture</w:t>
            </w:r>
          </w:p>
        </w:tc>
        <w:tc>
          <w:tcPr>
            <w:tcW w:type="dxa" w:w="1893"/>
          </w:tcPr>
          <w:p>
            <w:pPr>
              <w:spacing w:after="0"/>
            </w:pPr>
            <w:r>
              <w:rPr>
                <w:sz w:val="18"/>
              </w:rPr>
              <w:t>204.95</w:t>
            </w:r>
          </w:p>
        </w:tc>
        <w:tc>
          <w:tcPr>
            <w:tcW w:type="dxa" w:w="1893"/>
          </w:tcPr>
          <w:p>
            <w:pPr>
              <w:spacing w:after="0"/>
            </w:pPr>
            <w:r>
              <w:rPr>
                <w:sz w:val="18"/>
              </w:rPr>
              <w:t>44.3</w:t>
            </w:r>
          </w:p>
        </w:tc>
        <w:tc>
          <w:tcPr>
            <w:tcW w:type="dxa" w:w="1893"/>
          </w:tcPr>
          <w:p>
            <w:pPr>
              <w:spacing w:after="0"/>
            </w:pPr>
            <w:r>
              <w:rPr>
                <w:sz w:val="18"/>
              </w:rPr>
              <w:t>350Solutions</w:t>
            </w:r>
          </w:p>
        </w:tc>
      </w:tr>
      <w:tr>
        <w:tc>
          <w:tcPr>
            <w:tcW w:type="dxa" w:w="1893"/>
          </w:tcPr>
          <w:p>
            <w:pPr>
              <w:spacing w:after="0"/>
            </w:pPr>
            <w:r>
              <w:rPr>
                <w:sz w:val="18"/>
              </w:rPr>
              <w:t>21</w:t>
            </w:r>
          </w:p>
        </w:tc>
        <w:tc>
          <w:tcPr>
            <w:tcW w:type="dxa" w:w="1893"/>
          </w:tcPr>
          <w:p>
            <w:pPr>
              <w:spacing w:after="0"/>
            </w:pPr>
            <w:r>
              <w:rPr>
                <w:sz w:val="18"/>
              </w:rPr>
              <w:t>DMS Georgia</w:t>
            </w:r>
          </w:p>
        </w:tc>
        <w:tc>
          <w:tcPr>
            <w:tcW w:type="dxa" w:w="1893"/>
          </w:tcPr>
          <w:p>
            <w:pPr>
              <w:spacing w:after="0"/>
            </w:pPr>
            <w:r>
              <w:rPr>
                <w:sz w:val="18"/>
              </w:rPr>
              <w:t>Rewind</w:t>
            </w:r>
          </w:p>
        </w:tc>
        <w:tc>
          <w:tcPr>
            <w:tcW w:type="dxa" w:w="1893"/>
          </w:tcPr>
          <w:p>
            <w:pPr>
              <w:spacing w:after="0"/>
            </w:pPr>
            <w:r>
              <w:rPr>
                <w:sz w:val="18"/>
              </w:rPr>
              <w:t>Subsurface Biomass Carbon Removal and Storage</w:t>
            </w:r>
          </w:p>
        </w:tc>
        <w:tc>
          <w:tcPr>
            <w:tcW w:type="dxa" w:w="1893"/>
          </w:tcPr>
          <w:p>
            <w:pPr>
              <w:spacing w:after="0"/>
            </w:pPr>
            <w:r>
              <w:rPr>
                <w:sz w:val="18"/>
              </w:rPr>
              <w:t>108.92</w:t>
            </w:r>
          </w:p>
        </w:tc>
        <w:tc>
          <w:tcPr>
            <w:tcW w:type="dxa" w:w="1893"/>
          </w:tcPr>
          <w:p>
            <w:pPr>
              <w:spacing w:after="0"/>
            </w:pPr>
            <w:r>
              <w:rPr>
                <w:sz w:val="18"/>
              </w:rPr>
              <w:t>60</w:t>
            </w:r>
          </w:p>
        </w:tc>
        <w:tc>
          <w:tcPr>
            <w:tcW w:type="dxa" w:w="1893"/>
          </w:tcPr>
          <w:p>
            <w:pPr>
              <w:spacing w:after="0"/>
            </w:pPr>
            <w:r>
              <w:rPr>
                <w:sz w:val="18"/>
              </w:rPr>
              <w:t>Normec Verifavia</w:t>
            </w:r>
          </w:p>
        </w:tc>
      </w:tr>
      <w:tr>
        <w:tc>
          <w:tcPr>
            <w:tcW w:type="dxa" w:w="1893"/>
          </w:tcPr>
          <w:p>
            <w:pPr>
              <w:spacing w:after="0"/>
            </w:pPr>
            <w:r>
              <w:rPr>
                <w:sz w:val="18"/>
              </w:rPr>
              <w:t>22</w:t>
            </w:r>
          </w:p>
        </w:tc>
        <w:tc>
          <w:tcPr>
            <w:tcW w:type="dxa" w:w="1893"/>
          </w:tcPr>
          <w:p>
            <w:pPr>
              <w:spacing w:after="0"/>
            </w:pPr>
            <w:r>
              <w:rPr>
                <w:sz w:val="18"/>
              </w:rPr>
              <w:t>Charm Range &amp; Plains Biochar</w:t>
            </w:r>
          </w:p>
        </w:tc>
        <w:tc>
          <w:tcPr>
            <w:tcW w:type="dxa" w:w="1893"/>
          </w:tcPr>
          <w:p>
            <w:pPr>
              <w:spacing w:after="0"/>
            </w:pPr>
            <w:r>
              <w:rPr>
                <w:sz w:val="18"/>
              </w:rPr>
              <w:t>Charm Industrial</w:t>
            </w:r>
          </w:p>
        </w:tc>
        <w:tc>
          <w:tcPr>
            <w:tcW w:type="dxa" w:w="1893"/>
          </w:tcPr>
          <w:p>
            <w:pPr>
              <w:spacing w:after="0"/>
            </w:pPr>
            <w:r>
              <w:rPr>
                <w:sz w:val="18"/>
              </w:rPr>
              <w:t>Biochar Production and Storage</w:t>
            </w:r>
          </w:p>
        </w:tc>
        <w:tc>
          <w:tcPr>
            <w:tcW w:type="dxa" w:w="1893"/>
          </w:tcPr>
          <w:p>
            <w:pPr>
              <w:spacing w:after="0"/>
            </w:pPr>
            <w:r>
              <w:rPr>
                <w:sz w:val="18"/>
              </w:rPr>
              <w:t>101.03</w:t>
            </w:r>
          </w:p>
        </w:tc>
        <w:tc>
          <w:tcPr>
            <w:tcW w:type="dxa" w:w="1893"/>
          </w:tcPr>
          <w:p>
            <w:pPr>
              <w:spacing w:after="0"/>
            </w:pPr>
            <w:r>
              <w:rPr>
                <w:sz w:val="18"/>
              </w:rPr>
              <w:t>3.449</w:t>
            </w:r>
          </w:p>
        </w:tc>
        <w:tc>
          <w:tcPr>
            <w:tcW w:type="dxa" w:w="1893"/>
          </w:tcPr>
          <w:p>
            <w:pPr>
              <w:spacing w:after="0"/>
            </w:pPr>
            <w:r>
              <w:rPr>
                <w:sz w:val="18"/>
              </w:rPr>
              <w:t>350Solutions</w:t>
            </w:r>
          </w:p>
        </w:tc>
      </w:tr>
      <w:tr>
        <w:tc>
          <w:tcPr>
            <w:tcW w:type="dxa" w:w="1893"/>
          </w:tcPr>
          <w:p>
            <w:pPr>
              <w:spacing w:after="0"/>
            </w:pPr>
            <w:r>
              <w:rPr>
                <w:sz w:val="18"/>
              </w:rPr>
              <w:t>23</w:t>
            </w:r>
          </w:p>
        </w:tc>
        <w:tc>
          <w:tcPr>
            <w:tcW w:type="dxa" w:w="1893"/>
          </w:tcPr>
          <w:p>
            <w:pPr>
              <w:spacing w:after="0"/>
            </w:pPr>
            <w:r>
              <w:rPr>
                <w:sz w:val="18"/>
              </w:rPr>
              <w:t>Kvina River CDR Project</w:t>
            </w:r>
          </w:p>
        </w:tc>
        <w:tc>
          <w:tcPr>
            <w:tcW w:type="dxa" w:w="1893"/>
          </w:tcPr>
          <w:p>
            <w:pPr>
              <w:spacing w:after="0"/>
            </w:pPr>
            <w:r>
              <w:rPr>
                <w:sz w:val="18"/>
              </w:rPr>
              <w:t>CarbonRun</w:t>
            </w:r>
          </w:p>
        </w:tc>
        <w:tc>
          <w:tcPr>
            <w:tcW w:type="dxa" w:w="1893"/>
          </w:tcPr>
          <w:p>
            <w:pPr>
              <w:spacing w:after="0"/>
            </w:pPr>
            <w:r>
              <w:rPr>
                <w:sz w:val="18"/>
              </w:rPr>
              <w:t>River Alkalinity Enhancement</w:t>
            </w:r>
          </w:p>
        </w:tc>
        <w:tc>
          <w:tcPr>
            <w:tcW w:type="dxa" w:w="1893"/>
          </w:tcPr>
          <w:p>
            <w:pPr>
              <w:spacing w:after="0"/>
            </w:pPr>
            <w:r>
              <w:rPr>
                <w:sz w:val="18"/>
              </w:rPr>
              <w:t>76.69</w:t>
            </w:r>
          </w:p>
        </w:tc>
        <w:tc>
          <w:tcPr>
            <w:tcW w:type="dxa" w:w="1893"/>
          </w:tcPr>
          <w:p>
            <w:pPr>
              <w:spacing w:after="0"/>
            </w:pPr>
            <w:r>
              <w:rPr>
                <w:sz w:val="18"/>
              </w:rPr>
              <w:t>23.002</w:t>
            </w:r>
          </w:p>
        </w:tc>
        <w:tc>
          <w:tcPr>
            <w:tcW w:type="dxa" w:w="1893"/>
          </w:tcPr>
          <w:p>
            <w:pPr>
              <w:spacing w:after="0"/>
            </w:pPr>
            <w:r>
              <w:rPr>
                <w:sz w:val="18"/>
              </w:rPr>
              <w:t>350Solutions</w:t>
            </w:r>
          </w:p>
        </w:tc>
      </w:tr>
      <w:tr>
        <w:tc>
          <w:tcPr>
            <w:tcW w:type="dxa" w:w="1893"/>
          </w:tcPr>
          <w:p>
            <w:pPr>
              <w:spacing w:after="0"/>
            </w:pPr>
            <w:r>
              <w:rPr>
                <w:sz w:val="18"/>
              </w:rPr>
              <w:t>24</w:t>
            </w:r>
          </w:p>
        </w:tc>
        <w:tc>
          <w:tcPr>
            <w:tcW w:type="dxa" w:w="1893"/>
          </w:tcPr>
          <w:p>
            <w:pPr>
              <w:spacing w:after="0"/>
            </w:pPr>
            <w:r>
              <w:rPr>
                <w:sz w:val="18"/>
              </w:rPr>
              <w:t>Hampton Roads WAE Project</w:t>
            </w:r>
          </w:p>
        </w:tc>
        <w:tc>
          <w:tcPr>
            <w:tcW w:type="dxa" w:w="1893"/>
          </w:tcPr>
          <w:p>
            <w:pPr>
              <w:spacing w:after="0"/>
            </w:pPr>
            <w:r>
              <w:rPr>
                <w:sz w:val="18"/>
              </w:rPr>
              <w:t>CREW Carbon</w:t>
            </w:r>
          </w:p>
        </w:tc>
        <w:tc>
          <w:tcPr>
            <w:tcW w:type="dxa" w:w="1893"/>
          </w:tcPr>
          <w:p>
            <w:pPr>
              <w:spacing w:after="0"/>
            </w:pPr>
            <w:r>
              <w:rPr>
                <w:sz w:val="18"/>
              </w:rPr>
              <w:t>Wastewater Alkalinity Enhancement</w:t>
            </w:r>
          </w:p>
        </w:tc>
        <w:tc>
          <w:tcPr>
            <w:tcW w:type="dxa" w:w="1893"/>
          </w:tcPr>
          <w:p>
            <w:pPr>
              <w:spacing w:after="0"/>
            </w:pPr>
            <w:r>
              <w:rPr>
                <w:sz w:val="18"/>
              </w:rPr>
              <w:t>49.53</w:t>
            </w:r>
          </w:p>
        </w:tc>
        <w:tc>
          <w:tcPr>
            <w:tcW w:type="dxa" w:w="1893"/>
          </w:tcPr>
          <w:p>
            <w:pPr>
              <w:spacing w:after="0"/>
            </w:pPr>
            <w:r>
              <w:rPr>
                <w:sz w:val="18"/>
              </w:rPr>
              <w:t>0</w:t>
            </w:r>
          </w:p>
        </w:tc>
        <w:tc>
          <w:tcPr>
            <w:tcW w:type="dxa" w:w="1893"/>
          </w:tcPr>
          <w:p>
            <w:pPr>
              <w:spacing w:after="0"/>
            </w:pPr>
            <w:r>
              <w:rPr>
                <w:sz w:val="18"/>
              </w:rPr>
              <w:t>350Solutions</w:t>
            </w:r>
          </w:p>
        </w:tc>
      </w:tr>
      <w:tr>
        <w:tc>
          <w:tcPr>
            <w:tcW w:type="dxa" w:w="1893"/>
          </w:tcPr>
          <w:p>
            <w:pPr>
              <w:spacing w:after="0"/>
            </w:pPr>
            <w:r>
              <w:rPr>
                <w:sz w:val="18"/>
              </w:rPr>
              <w:t>25</w:t>
            </w:r>
          </w:p>
        </w:tc>
        <w:tc>
          <w:tcPr>
            <w:tcW w:type="dxa" w:w="1893"/>
          </w:tcPr>
          <w:p>
            <w:pPr>
              <w:spacing w:after="0"/>
            </w:pPr>
            <w:r>
              <w:rPr>
                <w:sz w:val="18"/>
              </w:rPr>
              <w:t>Project Cajueiro</w:t>
            </w:r>
          </w:p>
        </w:tc>
        <w:tc>
          <w:tcPr>
            <w:tcW w:type="dxa" w:w="1893"/>
          </w:tcPr>
          <w:p>
            <w:pPr>
              <w:spacing w:after="0"/>
            </w:pPr>
            <w:r>
              <w:rPr>
                <w:sz w:val="18"/>
              </w:rPr>
              <w:t>Mombak</w:t>
            </w:r>
          </w:p>
        </w:tc>
        <w:tc>
          <w:tcPr>
            <w:tcW w:type="dxa" w:w="1893"/>
          </w:tcPr>
          <w:p>
            <w:pPr>
              <w:spacing w:after="0"/>
            </w:pPr>
            <w:r>
              <w:rPr>
                <w:sz w:val="18"/>
              </w:rPr>
              <w:t>Enhanced Weathering in Agriculture</w:t>
            </w:r>
          </w:p>
        </w:tc>
        <w:tc>
          <w:tcPr>
            <w:tcW w:type="dxa" w:w="1893"/>
          </w:tcPr>
          <w:p>
            <w:pPr>
              <w:spacing w:after="0"/>
            </w:pPr>
            <w:r>
              <w:rPr>
                <w:sz w:val="18"/>
              </w:rPr>
              <w:t>46.94</w:t>
            </w:r>
          </w:p>
        </w:tc>
        <w:tc>
          <w:tcPr>
            <w:tcW w:type="dxa" w:w="1893"/>
          </w:tcPr>
          <w:p>
            <w:pPr>
              <w:spacing w:after="0"/>
            </w:pPr>
            <w:r>
              <w:rPr>
                <w:sz w:val="18"/>
              </w:rPr>
              <w:t>46</w:t>
            </w:r>
          </w:p>
        </w:tc>
        <w:tc>
          <w:tcPr>
            <w:tcW w:type="dxa" w:w="1893"/>
          </w:tcPr>
          <w:p>
            <w:pPr>
              <w:spacing w:after="0"/>
            </w:pPr>
            <w:r>
              <w:rPr>
                <w:sz w:val="18"/>
              </w:rPr>
              <w:t>350Solutions</w:t>
            </w:r>
          </w:p>
        </w:tc>
      </w:tr>
      <w:tr>
        <w:tc>
          <w:tcPr>
            <w:tcW w:type="dxa" w:w="1893"/>
          </w:tcPr>
          <w:p>
            <w:pPr>
              <w:spacing w:after="0"/>
            </w:pPr>
            <w:r>
              <w:rPr>
                <w:sz w:val="18"/>
              </w:rPr>
              <w:t>26</w:t>
            </w:r>
          </w:p>
        </w:tc>
        <w:tc>
          <w:tcPr>
            <w:tcW w:type="dxa" w:w="1893"/>
          </w:tcPr>
          <w:p>
            <w:pPr>
              <w:spacing w:after="0"/>
            </w:pPr>
            <w:r>
              <w:rPr>
                <w:sz w:val="18"/>
              </w:rPr>
              <w:t>Project Agneerath</w:t>
            </w:r>
          </w:p>
        </w:tc>
        <w:tc>
          <w:tcPr>
            <w:tcW w:type="dxa" w:w="1893"/>
          </w:tcPr>
          <w:p>
            <w:pPr>
              <w:spacing w:after="0"/>
            </w:pPr>
            <w:r>
              <w:rPr>
                <w:sz w:val="18"/>
              </w:rPr>
              <w:t>Earthrevive Technologies</w:t>
            </w:r>
          </w:p>
        </w:tc>
        <w:tc>
          <w:tcPr>
            <w:tcW w:type="dxa" w:w="1893"/>
          </w:tcPr>
          <w:p>
            <w:pPr>
              <w:spacing w:after="0"/>
            </w:pPr>
            <w:r>
              <w:rPr>
                <w:sz w:val="18"/>
              </w:rPr>
              <w:t>Biochar Production and Storage</w:t>
            </w:r>
          </w:p>
        </w:tc>
        <w:tc>
          <w:tcPr>
            <w:tcW w:type="dxa" w:w="1893"/>
          </w:tcPr>
          <w:p>
            <w:pPr>
              <w:spacing w:after="0"/>
            </w:pPr>
            <w:r>
              <w:rPr>
                <w:sz w:val="18"/>
              </w:rPr>
              <w:t>5.6</w:t>
            </w:r>
          </w:p>
        </w:tc>
        <w:tc>
          <w:tcPr>
            <w:tcW w:type="dxa" w:w="1893"/>
          </w:tcPr>
          <w:p>
            <w:pPr>
              <w:spacing w:after="0"/>
            </w:pPr>
            <w:r>
              <w:rPr>
                <w:sz w:val="18"/>
              </w:rPr>
              <w:t>0</w:t>
            </w:r>
          </w:p>
        </w:tc>
        <w:tc>
          <w:tcPr>
            <w:tcW w:type="dxa" w:w="1893"/>
          </w:tcPr>
          <w:p>
            <w:pPr>
              <w:spacing w:after="0"/>
            </w:pPr>
            <w:r>
              <w:rPr>
                <w:sz w:val="18"/>
              </w:rPr>
              <w:t>Carbon Check</w:t>
            </w:r>
          </w:p>
        </w:tc>
      </w:tr>
      <w:tr>
        <w:tc>
          <w:tcPr>
            <w:tcW w:type="dxa" w:w="1893"/>
          </w:tcPr>
          <w:p>
            <w:pPr>
              <w:spacing w:after="0"/>
            </w:pPr>
            <w:r>
              <w:rPr>
                <w:sz w:val="18"/>
              </w:rPr>
              <w:t>27</w:t>
            </w:r>
          </w:p>
        </w:tc>
        <w:tc>
          <w:tcPr>
            <w:tcW w:type="dxa" w:w="1893"/>
          </w:tcPr>
          <w:p>
            <w:pPr>
              <w:spacing w:after="0"/>
            </w:pPr>
            <w:r>
              <w:rPr>
                <w:sz w:val="18"/>
              </w:rPr>
              <w:t>Project Nandani</w:t>
            </w:r>
          </w:p>
        </w:tc>
        <w:tc>
          <w:tcPr>
            <w:tcW w:type="dxa" w:w="1893"/>
          </w:tcPr>
          <w:p>
            <w:pPr>
              <w:spacing w:after="0"/>
            </w:pPr>
            <w:r>
              <w:rPr>
                <w:sz w:val="18"/>
              </w:rPr>
              <w:t>Ground Up</w:t>
            </w:r>
          </w:p>
        </w:tc>
        <w:tc>
          <w:tcPr>
            <w:tcW w:type="dxa" w:w="1893"/>
          </w:tcPr>
          <w:p>
            <w:pPr>
              <w:spacing w:after="0"/>
            </w:pPr>
            <w:r>
              <w:rPr>
                <w:sz w:val="18"/>
              </w:rPr>
              <w:t>Biochar Production and Storage</w:t>
            </w:r>
          </w:p>
        </w:tc>
        <w:tc>
          <w:tcPr>
            <w:tcW w:type="dxa" w:w="1893"/>
          </w:tcPr>
          <w:p>
            <w:pPr>
              <w:spacing w:after="0"/>
            </w:pPr>
            <w:r>
              <w:rPr>
                <w:sz w:val="18"/>
              </w:rPr>
              <w:t>4.97</w:t>
            </w:r>
          </w:p>
        </w:tc>
        <w:tc>
          <w:tcPr>
            <w:tcW w:type="dxa" w:w="1893"/>
          </w:tcPr>
          <w:p>
            <w:pPr>
              <w:spacing w:after="0"/>
            </w:pPr>
            <w:r>
              <w:rPr>
                <w:sz w:val="18"/>
              </w:rPr>
              <w:t>0</w:t>
            </w:r>
          </w:p>
        </w:tc>
        <w:tc>
          <w:tcPr>
            <w:tcW w:type="dxa" w:w="1893"/>
          </w:tcPr>
          <w:p>
            <w:pPr>
              <w:spacing w:after="0"/>
            </w:pPr>
            <w:r>
              <w:rPr>
                <w:sz w:val="18"/>
              </w:rPr>
              <w:t>Enviance</w:t>
            </w:r>
          </w:p>
        </w:tc>
      </w:tr>
      <w:tr>
        <w:tc>
          <w:tcPr>
            <w:tcW w:type="dxa" w:w="1893"/>
          </w:tcPr>
          <w:p>
            <w:pPr>
              <w:spacing w:after="0"/>
            </w:pPr>
            <w:r>
              <w:rPr>
                <w:sz w:val="18"/>
              </w:rPr>
              <w:t>28</w:t>
            </w:r>
          </w:p>
        </w:tc>
        <w:tc>
          <w:tcPr>
            <w:tcW w:type="dxa" w:w="1893"/>
          </w:tcPr>
          <w:p>
            <w:pPr>
              <w:spacing w:after="0"/>
            </w:pPr>
            <w:r>
              <w:rPr>
                <w:sz w:val="18"/>
              </w:rPr>
              <w:t>Deep Sky Alpha</w:t>
            </w:r>
          </w:p>
        </w:tc>
        <w:tc>
          <w:tcPr>
            <w:tcW w:type="dxa" w:w="1893"/>
          </w:tcPr>
          <w:p>
            <w:pPr>
              <w:spacing w:after="0"/>
            </w:pPr>
            <w:r>
              <w:rPr>
                <w:sz w:val="18"/>
              </w:rPr>
              <w:t>Deep Sky</w:t>
            </w:r>
          </w:p>
        </w:tc>
        <w:tc>
          <w:tcPr>
            <w:tcW w:type="dxa" w:w="1893"/>
          </w:tcPr>
          <w:p>
            <w:pPr>
              <w:spacing w:after="0"/>
            </w:pPr>
            <w:r>
              <w:rPr>
                <w:sz w:val="18"/>
              </w:rPr>
              <w:t>Direct Air Capture</w:t>
            </w:r>
          </w:p>
        </w:tc>
        <w:tc>
          <w:tcPr>
            <w:tcW w:type="dxa" w:w="1893"/>
          </w:tcPr>
          <w:p>
            <w:pPr>
              <w:spacing w:after="0"/>
            </w:pPr>
            <w:r>
              <w:rPr>
                <w:sz w:val="18"/>
              </w:rPr>
              <w:t>3.02</w:t>
            </w:r>
          </w:p>
        </w:tc>
        <w:tc>
          <w:tcPr>
            <w:tcW w:type="dxa" w:w="1893"/>
          </w:tcPr>
          <w:p>
            <w:pPr>
              <w:spacing w:after="0"/>
            </w:pPr>
            <w:r>
              <w:rPr>
                <w:sz w:val="18"/>
              </w:rPr>
              <w:t>1</w:t>
            </w:r>
          </w:p>
        </w:tc>
        <w:tc>
          <w:tcPr>
            <w:tcW w:type="dxa" w:w="1893"/>
          </w:tcPr>
          <w:p>
            <w:pPr>
              <w:spacing w:after="0"/>
            </w:pPr>
            <w:r>
              <w:rPr>
                <w:sz w:val="18"/>
              </w:rPr>
              <w:t>350Solutions</w:t>
            </w:r>
          </w:p>
        </w:tc>
      </w:tr>
      <w:tr>
        <w:tc>
          <w:tcPr>
            <w:tcW w:type="dxa" w:w="1893"/>
          </w:tcPr>
          <w:p>
            <w:pPr>
              <w:spacing w:after="0"/>
            </w:pPr>
            <w:r>
              <w:rPr>
                <w:sz w:val="18"/>
              </w:rPr>
              <w:t>29</w:t>
            </w:r>
          </w:p>
        </w:tc>
        <w:tc>
          <w:tcPr>
            <w:tcW w:type="dxa" w:w="1893"/>
          </w:tcPr>
          <w:p>
            <w:pPr>
              <w:spacing w:after="0"/>
            </w:pPr>
            <w:r>
              <w:rPr>
                <w:sz w:val="18"/>
              </w:rPr>
              <w:t>A Biochar Project at Satyapura</w:t>
            </w:r>
          </w:p>
        </w:tc>
        <w:tc>
          <w:tcPr>
            <w:tcW w:type="dxa" w:w="1893"/>
          </w:tcPr>
          <w:p>
            <w:pPr>
              <w:spacing w:after="0"/>
            </w:pPr>
            <w:r>
              <w:rPr>
                <w:sz w:val="18"/>
              </w:rPr>
              <w:t>Equilibrium</w:t>
            </w:r>
          </w:p>
        </w:tc>
        <w:tc>
          <w:tcPr>
            <w:tcW w:type="dxa" w:w="1893"/>
          </w:tcPr>
          <w:p>
            <w:pPr>
              <w:spacing w:after="0"/>
            </w:pPr>
            <w:r>
              <w:rPr>
                <w:sz w:val="18"/>
              </w:rPr>
              <w:t>Biochar Production and Storage</w:t>
            </w:r>
          </w:p>
        </w:tc>
        <w:tc>
          <w:tcPr>
            <w:tcW w:type="dxa" w:w="1893"/>
          </w:tcPr>
          <w:p>
            <w:pPr>
              <w:spacing w:after="0"/>
            </w:pPr>
            <w:r>
              <w:rPr>
                <w:sz w:val="18"/>
              </w:rPr>
              <w:t>1.47</w:t>
            </w:r>
          </w:p>
        </w:tc>
        <w:tc>
          <w:tcPr>
            <w:tcW w:type="dxa" w:w="1893"/>
          </w:tcPr>
          <w:p>
            <w:pPr>
              <w:spacing w:after="0"/>
            </w:pPr>
            <w:r>
              <w:rPr>
                <w:sz w:val="18"/>
              </w:rPr>
              <w:t>0</w:t>
            </w:r>
          </w:p>
        </w:tc>
        <w:tc>
          <w:tcPr>
            <w:tcW w:type="dxa" w:w="1893"/>
          </w:tcPr>
          <w:p>
            <w:pPr>
              <w:spacing w:after="0"/>
            </w:pPr>
            <w:r>
              <w:rPr>
                <w:sz w:val="18"/>
              </w:rPr>
              <w:t>Enviance</w:t>
            </w:r>
          </w:p>
        </w:tc>
      </w:tr>
      <w:tr>
        <w:tc>
          <w:tcPr>
            <w:tcW w:type="dxa" w:w="1893"/>
          </w:tcPr>
          <w:p>
            <w:pPr>
              <w:spacing w:after="0"/>
            </w:pPr>
            <w:r>
              <w:rPr>
                <w:sz w:val="18"/>
              </w:rPr>
              <w:t>30</w:t>
            </w:r>
          </w:p>
        </w:tc>
        <w:tc>
          <w:tcPr>
            <w:tcW w:type="dxa" w:w="1893"/>
          </w:tcPr>
          <w:p>
            <w:pPr>
              <w:spacing w:after="0"/>
            </w:pPr>
            <w:r>
              <w:rPr>
                <w:sz w:val="18"/>
              </w:rPr>
              <w:t>Burnsville</w:t>
            </w:r>
          </w:p>
        </w:tc>
        <w:tc>
          <w:tcPr>
            <w:tcW w:type="dxa" w:w="1893"/>
          </w:tcPr>
          <w:p>
            <w:pPr>
              <w:spacing w:after="0"/>
            </w:pPr>
            <w:r>
              <w:rPr>
                <w:sz w:val="18"/>
              </w:rPr>
              <w:t>Carba</w:t>
            </w:r>
          </w:p>
        </w:tc>
        <w:tc>
          <w:tcPr>
            <w:tcW w:type="dxa" w:w="1893"/>
          </w:tcPr>
          <w:p>
            <w:pPr>
              <w:spacing w:after="0"/>
            </w:pPr>
            <w:r>
              <w:rPr>
                <w:sz w:val="18"/>
              </w:rPr>
              <w:t>Biochar Production and Storage</w:t>
            </w:r>
          </w:p>
        </w:tc>
        <w:tc>
          <w:tcPr>
            <w:tcW w:type="dxa" w:w="1893"/>
          </w:tcPr>
          <w:p>
            <w:pPr>
              <w:spacing w:after="0"/>
            </w:pPr>
            <w:r>
              <w:rPr>
                <w:sz w:val="18"/>
              </w:rPr>
              <w:t>0.00</w:t>
            </w:r>
          </w:p>
        </w:tc>
        <w:tc>
          <w:tcPr>
            <w:tcW w:type="dxa" w:w="1893"/>
          </w:tcPr>
          <w:p>
            <w:pPr>
              <w:spacing w:after="0"/>
            </w:pPr>
          </w:p>
        </w:tc>
        <w:tc>
          <w:tcPr>
            <w:tcW w:type="dxa" w:w="1893"/>
          </w:tcPr>
          <w:p>
            <w:pPr>
              <w:spacing w:after="0"/>
            </w:pPr>
            <w:r>
              <w:rPr>
                <w:sz w:val="18"/>
              </w:rPr>
              <w:t>350Solutions</w:t>
            </w:r>
          </w:p>
        </w:tc>
      </w:tr>
      <w:tr>
        <w:tc>
          <w:tcPr>
            <w:tcW w:type="dxa" w:w="1893"/>
          </w:tcPr>
          <w:p>
            <w:pPr>
              <w:spacing w:after="0"/>
            </w:pPr>
            <w:r>
              <w:rPr>
                <w:sz w:val="18"/>
              </w:rPr>
              <w:t>31</w:t>
            </w:r>
          </w:p>
        </w:tc>
        <w:tc>
          <w:tcPr>
            <w:tcW w:type="dxa" w:w="1893"/>
          </w:tcPr>
          <w:p>
            <w:pPr>
              <w:spacing w:after="0"/>
            </w:pPr>
            <w:r>
              <w:rPr>
                <w:sz w:val="18"/>
              </w:rPr>
              <w:t>Helix</w:t>
            </w:r>
          </w:p>
        </w:tc>
        <w:tc>
          <w:tcPr>
            <w:tcW w:type="dxa" w:w="1893"/>
          </w:tcPr>
          <w:p>
            <w:pPr>
              <w:spacing w:after="0"/>
            </w:pPr>
            <w:r>
              <w:rPr>
                <w:sz w:val="18"/>
              </w:rPr>
              <w:t>Planeteers</w:t>
            </w:r>
          </w:p>
        </w:tc>
        <w:tc>
          <w:tcPr>
            <w:tcW w:type="dxa" w:w="1893"/>
          </w:tcPr>
          <w:p>
            <w:pPr>
              <w:spacing w:after="0"/>
            </w:pPr>
            <w:r>
              <w:rPr>
                <w:sz w:val="18"/>
              </w:rPr>
              <w:t>Biogenic Carbon Capture and Storage</w:t>
            </w:r>
          </w:p>
        </w:tc>
        <w:tc>
          <w:tcPr>
            <w:tcW w:type="dxa" w:w="1893"/>
          </w:tcPr>
          <w:p>
            <w:pPr>
              <w:spacing w:after="0"/>
            </w:pPr>
            <w:r>
              <w:rPr>
                <w:sz w:val="18"/>
              </w:rPr>
              <w:t>0.00</w:t>
            </w:r>
          </w:p>
        </w:tc>
        <w:tc>
          <w:tcPr>
            <w:tcW w:type="dxa" w:w="1893"/>
          </w:tcPr>
          <w:p>
            <w:pPr>
              <w:spacing w:after="0"/>
            </w:pPr>
          </w:p>
        </w:tc>
        <w:tc>
          <w:tcPr>
            <w:tcW w:type="dxa" w:w="1893"/>
          </w:tcPr>
          <w:p>
            <w:pPr>
              <w:spacing w:after="0"/>
            </w:pPr>
            <w:r>
              <w:rPr>
                <w:sz w:val="18"/>
              </w:rPr>
              <w:t>Normec Verifavia</w:t>
            </w:r>
          </w:p>
        </w:tc>
      </w:tr>
      <w:tr>
        <w:tc>
          <w:tcPr>
            <w:tcW w:type="dxa" w:w="1893"/>
          </w:tcPr>
          <w:p>
            <w:pPr>
              <w:spacing w:after="0"/>
            </w:pPr>
            <w:r>
              <w:rPr>
                <w:sz w:val="18"/>
              </w:rPr>
              <w:t>32</w:t>
            </w:r>
          </w:p>
        </w:tc>
        <w:tc>
          <w:tcPr>
            <w:tcW w:type="dxa" w:w="1893"/>
          </w:tcPr>
          <w:p>
            <w:pPr>
              <w:spacing w:after="0"/>
            </w:pPr>
            <w:r>
              <w:rPr>
                <w:sz w:val="18"/>
              </w:rPr>
              <w:t>Project Dourado</w:t>
            </w:r>
          </w:p>
        </w:tc>
        <w:tc>
          <w:tcPr>
            <w:tcW w:type="dxa" w:w="1893"/>
          </w:tcPr>
          <w:p>
            <w:pPr>
              <w:spacing w:after="0"/>
            </w:pPr>
            <w:r>
              <w:rPr>
                <w:sz w:val="18"/>
              </w:rPr>
              <w:t>InPlanet</w:t>
            </w:r>
          </w:p>
        </w:tc>
        <w:tc>
          <w:tcPr>
            <w:tcW w:type="dxa" w:w="1893"/>
          </w:tcPr>
          <w:p>
            <w:pPr>
              <w:spacing w:after="0"/>
            </w:pPr>
            <w:r>
              <w:rPr>
                <w:sz w:val="18"/>
              </w:rPr>
              <w:t>Enhanced Weathering in Agriculture</w:t>
            </w:r>
          </w:p>
        </w:tc>
        <w:tc>
          <w:tcPr>
            <w:tcW w:type="dxa" w:w="1893"/>
          </w:tcPr>
          <w:p>
            <w:pPr>
              <w:spacing w:after="0"/>
            </w:pPr>
            <w:r>
              <w:rPr>
                <w:sz w:val="18"/>
              </w:rPr>
              <w:t>0.00</w:t>
            </w:r>
          </w:p>
        </w:tc>
        <w:tc>
          <w:tcPr>
            <w:tcW w:type="dxa" w:w="1893"/>
          </w:tcPr>
          <w:p>
            <w:pPr>
              <w:spacing w:after="0"/>
            </w:pPr>
          </w:p>
        </w:tc>
        <w:tc>
          <w:tcPr>
            <w:tcW w:type="dxa" w:w="1893"/>
          </w:tcPr>
          <w:p>
            <w:pPr>
              <w:spacing w:after="0"/>
            </w:pPr>
            <w:r>
              <w:rPr>
                <w:sz w:val="18"/>
              </w:rPr>
              <w:t>350Solutions</w:t>
            </w:r>
          </w:p>
        </w:tc>
      </w:tr>
      <w:tr>
        <w:tc>
          <w:tcPr>
            <w:tcW w:type="dxa" w:w="1893"/>
          </w:tcPr>
          <w:p>
            <w:pPr>
              <w:spacing w:after="0"/>
            </w:pPr>
            <w:r>
              <w:rPr>
                <w:sz w:val="18"/>
              </w:rPr>
              <w:t>33</w:t>
            </w:r>
          </w:p>
        </w:tc>
        <w:tc>
          <w:tcPr>
            <w:tcW w:type="dxa" w:w="1893"/>
          </w:tcPr>
          <w:p>
            <w:pPr>
              <w:spacing w:after="0"/>
            </w:pPr>
            <w:r>
              <w:rPr>
                <w:sz w:val="18"/>
              </w:rPr>
              <w:t>ZX-24 Vulkaneifel</w:t>
            </w:r>
          </w:p>
        </w:tc>
        <w:tc>
          <w:tcPr>
            <w:tcW w:type="dxa" w:w="1893"/>
          </w:tcPr>
          <w:p>
            <w:pPr>
              <w:spacing w:after="0"/>
            </w:pPr>
            <w:r>
              <w:rPr>
                <w:sz w:val="18"/>
              </w:rPr>
              <w:t>ZeroEx</w:t>
            </w:r>
          </w:p>
        </w:tc>
        <w:tc>
          <w:tcPr>
            <w:tcW w:type="dxa" w:w="1893"/>
          </w:tcPr>
          <w:p>
            <w:pPr>
              <w:spacing w:after="0"/>
            </w:pPr>
            <w:r>
              <w:rPr>
                <w:sz w:val="18"/>
              </w:rPr>
              <w:t>Enhanced Weathering in Agriculture</w:t>
            </w:r>
          </w:p>
        </w:tc>
        <w:tc>
          <w:tcPr>
            <w:tcW w:type="dxa" w:w="1893"/>
          </w:tcPr>
          <w:p>
            <w:pPr>
              <w:spacing w:after="0"/>
            </w:pPr>
            <w:r>
              <w:rPr>
                <w:sz w:val="18"/>
              </w:rPr>
              <w:t>0.00</w:t>
            </w:r>
          </w:p>
        </w:tc>
        <w:tc>
          <w:tcPr>
            <w:tcW w:type="dxa" w:w="1893"/>
          </w:tcPr>
          <w:p>
            <w:pPr>
              <w:spacing w:after="0"/>
            </w:pPr>
          </w:p>
        </w:tc>
        <w:tc>
          <w:tcPr>
            <w:tcW w:type="dxa" w:w="1893"/>
          </w:tcPr>
          <w:p>
            <w:pPr>
              <w:spacing w:after="0"/>
            </w:pPr>
            <w:r>
              <w:rPr>
                <w:sz w:val="18"/>
              </w:rPr>
              <w:t>EcoEngineers</w:t>
            </w:r>
          </w:p>
        </w:tc>
      </w:tr>
    </w:tbl>
    <w:p/>
    <w:p>
      <w:pPr>
        <w:sectPr>
          <w:pgSz w:w="15840" w:h="12240" w:orient="landscape"/>
          <w:pgMar w:top="1296" w:right="1296" w:bottom="1296" w:left="1296" w:header="720" w:footer="720" w:gutter="0"/>
          <w:cols w:space="720"/>
          <w:docGrid w:linePitch="360"/>
        </w:sectPr>
      </w:pPr>
    </w:p>
    <w:p>
      <w:r>
        <w:rPr>
          <w:b/>
        </w:rPr>
        <w:t>Charm's rank and share.</w:t>
      </w:r>
      <w:r>
        <w:t xml:space="preserve"> Census: "</w:t>
      </w:r>
      <w:r>
        <w:rPr>
          <w:rFonts w:ascii="Consolas" w:hAnsi="Consolas" w:eastAsia="Consolas"/>
        </w:rPr>
        <w:t>Charm Bio-oil Geologic Storage</w:t>
      </w:r>
      <w:r>
        <w:t xml:space="preserve"> is </w:t>
      </w:r>
      <w:r>
        <w:rPr>
          <w:b/>
        </w:rPr>
        <w:t>rank 5 of 33</w:t>
      </w:r>
      <w:r>
        <w:t xml:space="preserve"> Validated projects with </w:t>
      </w:r>
      <w:r>
        <w:rPr>
          <w:b/>
        </w:rPr>
        <w:t>`8,426.77` certificates issued</w:t>
      </w:r>
      <w:r>
        <w:t xml:space="preserve">"; "Summed </w:t>
      </w:r>
      <w:r>
        <w:rPr>
          <w:rFonts w:ascii="Consolas" w:hAnsi="Consolas" w:eastAsia="Consolas"/>
        </w:rPr>
        <w:t>Issued</w:t>
      </w:r>
      <w:r>
        <w:t xml:space="preserve"> across all 33 Validated projects, as read: 173,256.30 certificates; Charm Bio-oil is 4.9% of that". Within the geological-storage family: "Within the two geological-storage pathway labels only (</w:t>
      </w:r>
      <w:r>
        <w:rPr>
          <w:rFonts w:ascii="Consolas" w:hAnsi="Consolas" w:eastAsia="Consolas"/>
        </w:rPr>
        <w:t>Bio-oil Geological Storage</w:t>
      </w:r>
      <w:r>
        <w:t xml:space="preserve"> and </w:t>
      </w:r>
      <w:r>
        <w:rPr>
          <w:rFonts w:ascii="Consolas" w:hAnsi="Consolas" w:eastAsia="Consolas"/>
        </w:rPr>
        <w:t>Biomass Geological Storage</w:t>
      </w:r>
      <w:r>
        <w:t>, four projects), Charm is 2nd behind Vaulted Great Plains."</w:t>
      </w:r>
    </w:p>
    <w:p>
      <w:r>
        <w:rPr>
          <w:b/>
        </w:rPr>
        <w:t>The four geological-storage projects</w:t>
      </w:r>
      <w:r>
        <w:t xml:space="preserve"> (census, "Geological-storage pathway family"): two labelled </w:t>
      </w:r>
      <w:r>
        <w:rPr>
          <w:rFonts w:ascii="Consolas" w:hAnsi="Consolas" w:eastAsia="Consolas"/>
        </w:rPr>
        <w:t>Bio-oil Geological Storage</w:t>
      </w:r>
      <w:r>
        <w:t xml:space="preserve"> — Charm Bio-oil Geologic Storage (Charm Industrial) and Ontario Avenue Bio-Oil Sequestration (NULIFE GreenTech); two labelled </w:t>
      </w:r>
      <w:r>
        <w:rPr>
          <w:rFonts w:ascii="Consolas" w:hAnsi="Consolas" w:eastAsia="Consolas"/>
        </w:rPr>
        <w:t>Biomass Geological Storage</w:t>
      </w:r>
      <w:r>
        <w:t xml:space="preserve"> — Great Plains Organic Waste Sequestration (Vaulted Deep) and TIRE Project (Vaulted Deep). Public documents on each project page: Charm 40; Vaulted Great Plains 60; NULIFE 18; Vaulted TIRE 6.</w:t>
      </w:r>
    </w:p>
    <w:p>
      <w:pPr>
        <w:pStyle w:val="Heading2"/>
      </w:pPr>
      <w:r>
        <w:t>2. Who the peers are</w:t>
      </w:r>
    </w:p>
    <w:p>
      <w:r>
        <w:rPr>
          <w:b/>
        </w:rPr>
        <w:t>NULIFE Ontario Avenue (Saskatoon, Canada).</w:t>
      </w:r>
      <w:r>
        <w:t xml:space="preserve"> Pathway label "Bio-oil Geological Storage"; 1,404.08 certificates issued, "Retired 329.619", 8 issuance events, approval "30 Sep 2025", verifier Normec Verifavia, buffer rate "1% of certificates issued". Registry summary: "NULIFE GreenTech utilizes patented Hydrothermal Liquefaction (HTL) technology to convert waste biomass into carbon dense bio-oil… The bio-oil is transported to a third-party injection site for sequestration into a Canadian underground salt cavern." Feedstocks: "effluent sludge", "Oat Hulls", "waste oat bran" (PDD p70–71); the verified period used sludge only. Oil is made by a wet-biomass process with electric heaters — "Currently the HTL system does not utilize fuel to convert biomass into bio-oil." (p22). PDD: "Isometric Project Design Document / Version 1.7" template, registry row "30 Sep 2025 | PDD", 87 pages, protocol "Bio Oil Geological Storage / V1.1" at filing (p5), now verified under "Bio-oil Geological Storage v1.2" and "Isometric Standard v2.1" (Verification Report p4). No self-operated well: "NULIFE is utilizing the injection site's Cavern #1 for bio-oil storage." (p50–51).</w:t>
      </w:r>
    </w:p>
    <w:p>
      <w:r>
        <w:rPr>
          <w:b/>
        </w:rPr>
        <w:t>Vaulted Great Plains (Hutchinson, Kansas).</w:t>
      </w:r>
      <w:r>
        <w:t xml:space="preserve"> Pathway label "Biomass Geological Storage"; 70,234.61 certificates issued, "Retired 16,523.692", 252 issuance events, approval "22 Dec 2023", verifier 350Solutions, buffer rate "2% of certificates issued". Registry summary: "Vaulted deploys slurry injection technology to geologically sequester organic wastes… This site hosts a network of 60 salt caverns". Feedstock: "Vaulted secures a range of organic wastes (including biosolids, livestock and agricultural waste, paper sludge, and others)" (PDD p.1) — twelve supplier appendices, ten of them cattle/dairy manure. No conversion step: "Vaulted then minimally processes the waste on-site and geologically injects them" (p.1). PDD "Version 0.8", metadata title "[Redacted] 2025.09.12 Vaulted PDD.docx", 83 pages, registry row 18 Sep 2025; protocol "Biomass Geological Storage / v1.0.0" at filing, verified under v1.1. Same site and permit as Charm's Kansas leg: "Permit number: KS-05-155-003" (p.16) — Charm's PDD gives "KS-05-155-003" for Vaulted in Hutchinson.</w:t>
      </w:r>
    </w:p>
    <w:p>
      <w:r>
        <w:rPr>
          <w:b/>
        </w:rPr>
        <w:t>Vaulted TIRE (San Pedro, California).</w:t>
      </w:r>
      <w:r>
        <w:t xml:space="preserve"> Pathway label "Biomass Geological Storage"; 2,774.85 certificates issued, "Retired 0", 2 issuance events, approval "17 Jun 2026", verifier 350Solutions, buffer rate "2%". Registry summary: "The TIRE facility is a biosolids injection well co-located with the City of LA's Terminal Island wastewater treatment plant… Vaulted only credits those volumes over the baseline." Feedstock: "The feedstock is a biosolid derived from the City of Los Angeles' waste water treatment process." (Feedstock doc p.62). Storage is a permeable reservoir, not a cavern: "The permitted injection interval is from 3,800 ft – 7,500 ft, which is a sequence of sand and shale layers." (p.4), permit "Class V UIC | R9UIC-CA5-FY11-3R CA" (p.18). PDD is the Isometric web-form render, 65 file pages ("1 / 60" plus a 5-page feedstock document), rendered "Tue Jun 16 14:03:42 2026 PDT", registry row 17 Jun 2026; protocol "Biomass Geological Storage v1.1" with "Biomass Storage in Permeable Reservoirs protocol" (p.2).</w:t>
      </w:r>
    </w:p>
    <w:p>
      <w:pPr>
        <w:pStyle w:val="Heading2"/>
      </w:pPr>
      <w:r>
        <w:t>3. PDD size and shape</w:t>
      </w:r>
    </w:p>
    <w:p>
      <w:pPr>
        <w:sectPr>
          <w:pgSz w:w="12240" w:h="15840"/>
          <w:pgMar w:top="1296" w:right="1296" w:bottom="1296" w:left="1296" w:header="720" w:footer="720" w:gutter="0"/>
          <w:cols w:space="720"/>
          <w:docGrid w:linePitch="360"/>
        </w:sectPr>
      </w:pPr>
    </w:p>
    <w:tbl>
      <w:tblPr>
        <w:tblStyle w:val="TableGrid"/>
        <w:tblW w:type="auto" w:w="0"/>
        <w:tblLook w:firstColumn="1" w:firstRow="1" w:lastColumn="0" w:lastRow="0" w:noHBand="0" w:noVBand="1" w:val="04A0"/>
      </w:tblPr>
      <w:tblGrid>
        <w:gridCol w:w="2208"/>
        <w:gridCol w:w="2208"/>
        <w:gridCol w:w="2208"/>
        <w:gridCol w:w="2208"/>
        <w:gridCol w:w="2208"/>
        <w:gridCol w:w="2208"/>
      </w:tblGrid>
      <w:tr>
        <w:tc>
          <w:tcPr>
            <w:tcW w:type="dxa" w:w="2208"/>
            <w:shd w:val="clear" w:color="auto" w:fill="D6E4F0"/>
          </w:tcPr>
          <w:p>
            <w:pPr>
              <w:spacing w:after="0"/>
            </w:pPr>
            <w:r>
              <w:rPr>
                <w:b/>
                <w:sz w:val="18"/>
              </w:rPr>
              <w:t>Measure</w:t>
            </w:r>
          </w:p>
        </w:tc>
        <w:tc>
          <w:tcPr>
            <w:tcW w:type="dxa" w:w="2208"/>
            <w:shd w:val="clear" w:color="auto" w:fill="D6E4F0"/>
          </w:tcPr>
          <w:p>
            <w:pPr>
              <w:spacing w:after="0"/>
            </w:pPr>
            <w:r>
              <w:rPr>
                <w:b/>
                <w:sz w:val="18"/>
              </w:rPr>
              <w:t>Charm public PDD v1.11 (registry)</w:t>
            </w:r>
          </w:p>
        </w:tc>
        <w:tc>
          <w:tcPr>
            <w:tcW w:type="dxa" w:w="2208"/>
            <w:shd w:val="clear" w:color="auto" w:fill="D6E4F0"/>
          </w:tcPr>
          <w:p>
            <w:pPr>
              <w:spacing w:after="0"/>
            </w:pPr>
            <w:r>
              <w:rPr>
                <w:b/>
                <w:sz w:val="18"/>
              </w:rPr>
              <w:t>Charm internal PDD v1.12 (Drive)</w:t>
            </w:r>
          </w:p>
        </w:tc>
        <w:tc>
          <w:tcPr>
            <w:tcW w:type="dxa" w:w="2208"/>
            <w:shd w:val="clear" w:color="auto" w:fill="D6E4F0"/>
          </w:tcPr>
          <w:p>
            <w:pPr>
              <w:spacing w:after="0"/>
            </w:pPr>
            <w:r>
              <w:rPr>
                <w:b/>
                <w:sz w:val="18"/>
              </w:rPr>
              <w:t>NULIFE Ontario Avenue</w:t>
            </w:r>
          </w:p>
        </w:tc>
        <w:tc>
          <w:tcPr>
            <w:tcW w:type="dxa" w:w="2208"/>
            <w:shd w:val="clear" w:color="auto" w:fill="D6E4F0"/>
          </w:tcPr>
          <w:p>
            <w:pPr>
              <w:spacing w:after="0"/>
            </w:pPr>
            <w:r>
              <w:rPr>
                <w:b/>
                <w:sz w:val="18"/>
              </w:rPr>
              <w:t>Vaulted Great Plains</w:t>
            </w:r>
          </w:p>
        </w:tc>
        <w:tc>
          <w:tcPr>
            <w:tcW w:type="dxa" w:w="2208"/>
            <w:shd w:val="clear" w:color="auto" w:fill="D6E4F0"/>
          </w:tcPr>
          <w:p>
            <w:pPr>
              <w:spacing w:after="0"/>
            </w:pPr>
            <w:r>
              <w:rPr>
                <w:b/>
                <w:sz w:val="18"/>
              </w:rPr>
              <w:t>Vaulted TIRE</w:t>
            </w:r>
          </w:p>
        </w:tc>
      </w:tr>
      <w:tr>
        <w:tc>
          <w:tcPr>
            <w:tcW w:type="dxa" w:w="2208"/>
          </w:tcPr>
          <w:p>
            <w:pPr>
              <w:spacing w:after="0"/>
            </w:pPr>
            <w:r>
              <w:rPr>
                <w:sz w:val="18"/>
              </w:rPr>
              <w:t>Pages</w:t>
            </w:r>
          </w:p>
        </w:tc>
        <w:tc>
          <w:tcPr>
            <w:tcW w:type="dxa" w:w="2208"/>
          </w:tcPr>
          <w:p>
            <w:pPr>
              <w:spacing w:after="0"/>
            </w:pPr>
            <w:r>
              <w:rPr>
                <w:sz w:val="18"/>
              </w:rPr>
              <w:t>149</w:t>
            </w:r>
          </w:p>
        </w:tc>
        <w:tc>
          <w:tcPr>
            <w:tcW w:type="dxa" w:w="2208"/>
          </w:tcPr>
          <w:p>
            <w:pPr>
              <w:spacing w:after="0"/>
            </w:pPr>
            <w:r>
              <w:rPr>
                <w:sz w:val="18"/>
              </w:rPr>
              <w:t>"at least 155 pages long by its own table of contents; the exact total is not determinable from the file"</w:t>
            </w:r>
          </w:p>
        </w:tc>
        <w:tc>
          <w:tcPr>
            <w:tcW w:type="dxa" w:w="2208"/>
          </w:tcPr>
          <w:p>
            <w:pPr>
              <w:spacing w:after="0"/>
            </w:pPr>
            <w:r>
              <w:rPr>
                <w:sz w:val="18"/>
              </w:rPr>
              <w:t>87</w:t>
            </w:r>
          </w:p>
        </w:tc>
        <w:tc>
          <w:tcPr>
            <w:tcW w:type="dxa" w:w="2208"/>
          </w:tcPr>
          <w:p>
            <w:pPr>
              <w:spacing w:after="0"/>
            </w:pPr>
            <w:r>
              <w:rPr>
                <w:sz w:val="18"/>
              </w:rPr>
              <w:t>83</w:t>
            </w:r>
          </w:p>
        </w:tc>
        <w:tc>
          <w:tcPr>
            <w:tcW w:type="dxa" w:w="2208"/>
          </w:tcPr>
          <w:p>
            <w:pPr>
              <w:spacing w:after="0"/>
            </w:pPr>
            <w:r>
              <w:rPr>
                <w:sz w:val="18"/>
              </w:rPr>
              <w:t>65 (60 + 5 feedstock)</w:t>
            </w:r>
          </w:p>
        </w:tc>
      </w:tr>
      <w:tr>
        <w:tc>
          <w:tcPr>
            <w:tcW w:type="dxa" w:w="2208"/>
          </w:tcPr>
          <w:p>
            <w:pPr>
              <w:spacing w:after="0"/>
            </w:pPr>
            <w:r>
              <w:rPr>
                <w:sz w:val="18"/>
              </w:rPr>
              <w:t>Word count (computed)</w:t>
            </w:r>
          </w:p>
        </w:tc>
        <w:tc>
          <w:tcPr>
            <w:tcW w:type="dxa" w:w="2208"/>
          </w:tcPr>
          <w:p>
            <w:pPr>
              <w:spacing w:after="0"/>
            </w:pPr>
            <w:r>
              <w:rPr>
                <w:sz w:val="18"/>
              </w:rPr>
              <w:t>53,269</w:t>
            </w:r>
          </w:p>
        </w:tc>
        <w:tc>
          <w:tcPr>
            <w:tcW w:type="dxa" w:w="2208"/>
          </w:tcPr>
          <w:p>
            <w:pPr>
              <w:spacing w:after="0"/>
            </w:pPr>
            <w:r>
              <w:rPr>
                <w:sz w:val="18"/>
              </w:rPr>
              <w:t>58,881</w:t>
            </w:r>
          </w:p>
        </w:tc>
        <w:tc>
          <w:tcPr>
            <w:tcW w:type="dxa" w:w="2208"/>
          </w:tcPr>
          <w:p>
            <w:pPr>
              <w:spacing w:after="0"/>
            </w:pPr>
            <w:r>
              <w:rPr>
                <w:sz w:val="18"/>
              </w:rPr>
              <w:t>not computed — "No sanctioned tool in this session could produce a machine text dump of the PDF" (four attempts recorded)</w:t>
            </w:r>
          </w:p>
        </w:tc>
        <w:tc>
          <w:tcPr>
            <w:tcW w:type="dxa" w:w="2208"/>
          </w:tcPr>
          <w:p>
            <w:pPr>
              <w:spacing w:after="0"/>
            </w:pPr>
            <w:r>
              <w:rPr>
                <w:sz w:val="18"/>
              </w:rPr>
              <w:t>not computed — "The Read tool rendered the 83-page PDD as page images, not text"</w:t>
            </w:r>
          </w:p>
        </w:tc>
        <w:tc>
          <w:tcPr>
            <w:tcW w:type="dxa" w:w="2208"/>
          </w:tcPr>
          <w:p>
            <w:pPr>
              <w:spacing w:after="0"/>
            </w:pPr>
            <w:r>
              <w:rPr>
                <w:sz w:val="18"/>
              </w:rPr>
              <w:t>not computed — "extraction blocked"</w:t>
            </w:r>
          </w:p>
        </w:tc>
      </w:tr>
      <w:tr>
        <w:tc>
          <w:tcPr>
            <w:tcW w:type="dxa" w:w="2208"/>
          </w:tcPr>
          <w:p>
            <w:pPr>
              <w:spacing w:after="0"/>
            </w:pPr>
            <w:r>
              <w:rPr>
                <w:sz w:val="18"/>
              </w:rPr>
              <w:t>Top-level sections</w:t>
            </w:r>
          </w:p>
        </w:tc>
        <w:tc>
          <w:tcPr>
            <w:tcW w:type="dxa" w:w="2208"/>
          </w:tcPr>
          <w:p>
            <w:pPr>
              <w:spacing w:after="0"/>
            </w:pPr>
            <w:r>
              <w:rPr>
                <w:sz w:val="18"/>
              </w:rPr>
              <w:t>15 (A–F + Appendices 1–9)</w:t>
            </w:r>
          </w:p>
        </w:tc>
        <w:tc>
          <w:tcPr>
            <w:tcW w:type="dxa" w:w="2208"/>
          </w:tcPr>
          <w:p>
            <w:pPr>
              <w:spacing w:after="0"/>
            </w:pPr>
            <w:r>
              <w:rPr>
                <w:sz w:val="18"/>
              </w:rPr>
              <w:t>17 (A–F + Appendices 1–11)</w:t>
            </w:r>
          </w:p>
        </w:tc>
        <w:tc>
          <w:tcPr>
            <w:tcW w:type="dxa" w:w="2208"/>
          </w:tcPr>
          <w:p>
            <w:pPr>
              <w:spacing w:after="0"/>
            </w:pPr>
            <w:r>
              <w:rPr>
                <w:sz w:val="18"/>
              </w:rPr>
              <w:t>8 (A–F, template history, one feedstock appendix)</w:t>
            </w:r>
          </w:p>
        </w:tc>
        <w:tc>
          <w:tcPr>
            <w:tcW w:type="dxa" w:w="2208"/>
          </w:tcPr>
          <w:p>
            <w:pPr>
              <w:spacing w:after="0"/>
            </w:pPr>
            <w:r>
              <w:rPr>
                <w:sz w:val="18"/>
              </w:rPr>
              <w:t>22 (A–F + 16 appendices, 12 of them feedstock)</w:t>
            </w:r>
          </w:p>
        </w:tc>
        <w:tc>
          <w:tcPr>
            <w:tcW w:type="dxa" w:w="2208"/>
          </w:tcPr>
          <w:p>
            <w:pPr>
              <w:spacing w:after="0"/>
            </w:pPr>
            <w:r>
              <w:rPr>
                <w:sz w:val="18"/>
              </w:rPr>
              <w:t>7 (A–E + feedstock document)</w:t>
            </w:r>
          </w:p>
        </w:tc>
      </w:tr>
      <w:tr>
        <w:tc>
          <w:tcPr>
            <w:tcW w:type="dxa" w:w="2208"/>
          </w:tcPr>
          <w:p>
            <w:pPr>
              <w:spacing w:after="0"/>
            </w:pPr>
            <w:r>
              <w:rPr>
                <w:sz w:val="18"/>
              </w:rPr>
              <w:t>GHG Statement Report, latest round</w:t>
            </w:r>
          </w:p>
        </w:tc>
        <w:tc>
          <w:tcPr>
            <w:tcW w:type="dxa" w:w="2208"/>
          </w:tcPr>
          <w:p>
            <w:pPr>
              <w:spacing w:after="0"/>
            </w:pPr>
            <w:r>
              <w:rPr>
                <w:sz w:val="18"/>
              </w:rPr>
              <w:t>7 pages, 1,582 words (15 Aug 2026)</w:t>
            </w:r>
          </w:p>
        </w:tc>
        <w:tc>
          <w:tcPr>
            <w:tcW w:type="dxa" w:w="2208"/>
          </w:tcPr>
          <w:p>
            <w:pPr>
              <w:spacing w:after="0"/>
            </w:pPr>
            <w:r>
              <w:rPr>
                <w:sz w:val="18"/>
              </w:rPr>
              <w:t>same document</w:t>
            </w:r>
          </w:p>
        </w:tc>
        <w:tc>
          <w:tcPr>
            <w:tcW w:type="dxa" w:w="2208"/>
          </w:tcPr>
          <w:p>
            <w:pPr>
              <w:spacing w:after="0"/>
            </w:pPr>
            <w:r>
              <w:rPr>
                <w:sz w:val="18"/>
              </w:rPr>
              <w:t>12 pages (26 Aug 2026), words not computed</w:t>
            </w:r>
          </w:p>
        </w:tc>
        <w:tc>
          <w:tcPr>
            <w:tcW w:type="dxa" w:w="2208"/>
          </w:tcPr>
          <w:p>
            <w:pPr>
              <w:spacing w:after="0"/>
            </w:pPr>
            <w:r>
              <w:rPr>
                <w:sz w:val="18"/>
              </w:rPr>
              <w:t>3 pages, 960 words (31 Aug 2026)</w:t>
            </w:r>
          </w:p>
        </w:tc>
        <w:tc>
          <w:tcPr>
            <w:tcW w:type="dxa" w:w="2208"/>
          </w:tcPr>
          <w:p>
            <w:pPr>
              <w:spacing w:after="0"/>
            </w:pPr>
            <w:r>
              <w:rPr>
                <w:sz w:val="18"/>
              </w:rPr>
              <w:t>RP1 5 pages; RP2 4 pages (page 4 blank); words not computed</w:t>
            </w:r>
          </w:p>
        </w:tc>
      </w:tr>
      <w:tr>
        <w:tc>
          <w:tcPr>
            <w:tcW w:type="dxa" w:w="2208"/>
          </w:tcPr>
          <w:p>
            <w:pPr>
              <w:spacing w:after="0"/>
            </w:pPr>
            <w:r>
              <w:rPr>
                <w:sz w:val="18"/>
              </w:rPr>
              <w:t>Datapoints per public removal</w:t>
            </w:r>
          </w:p>
        </w:tc>
        <w:tc>
          <w:tcPr>
            <w:tcW w:type="dxa" w:w="2208"/>
          </w:tcPr>
          <w:p>
            <w:pPr>
              <w:spacing w:after="0"/>
            </w:pPr>
            <w:r>
              <w:rPr>
                <w:sz w:val="18"/>
              </w:rPr>
              <w:t>46</w:t>
            </w:r>
          </w:p>
        </w:tc>
        <w:tc>
          <w:tcPr>
            <w:tcW w:type="dxa" w:w="2208"/>
          </w:tcPr>
          <w:p>
            <w:pPr>
              <w:spacing w:after="0"/>
            </w:pPr>
            <w:r>
              <w:rPr>
                <w:sz w:val="18"/>
              </w:rPr>
              <w:t>—</w:t>
            </w:r>
          </w:p>
        </w:tc>
        <w:tc>
          <w:tcPr>
            <w:tcW w:type="dxa" w:w="2208"/>
          </w:tcPr>
          <w:p>
            <w:pPr>
              <w:spacing w:after="0"/>
            </w:pPr>
            <w:r>
              <w:rPr>
                <w:sz w:val="18"/>
              </w:rPr>
              <w:t>45 (Datapoints tab; 44 on calculation view)</w:t>
            </w:r>
          </w:p>
        </w:tc>
        <w:tc>
          <w:tcPr>
            <w:tcW w:type="dxa" w:w="2208"/>
          </w:tcPr>
          <w:p>
            <w:pPr>
              <w:spacing w:after="0"/>
            </w:pPr>
            <w:r>
              <w:rPr>
                <w:sz w:val="18"/>
              </w:rPr>
              <w:t>16 (Datapoints tab; 15 on calculation view)</w:t>
            </w:r>
          </w:p>
        </w:tc>
        <w:tc>
          <w:tcPr>
            <w:tcW w:type="dxa" w:w="2208"/>
          </w:tcPr>
          <w:p>
            <w:pPr>
              <w:spacing w:after="0"/>
            </w:pPr>
            <w:r>
              <w:rPr>
                <w:sz w:val="18"/>
              </w:rPr>
              <w:t>12</w:t>
            </w:r>
          </w:p>
        </w:tc>
      </w:tr>
      <w:tr>
        <w:tc>
          <w:tcPr>
            <w:tcW w:type="dxa" w:w="2208"/>
          </w:tcPr>
          <w:p>
            <w:pPr>
              <w:spacing w:after="0"/>
            </w:pPr>
            <w:r>
              <w:rPr>
                <w:sz w:val="18"/>
              </w:rPr>
              <w:t>Emission leaf lines in the public tree</w:t>
            </w:r>
          </w:p>
        </w:tc>
        <w:tc>
          <w:tcPr>
            <w:tcW w:type="dxa" w:w="2208"/>
          </w:tcPr>
          <w:p>
            <w:pPr>
              <w:spacing w:after="0"/>
            </w:pPr>
            <w:r>
              <w:rPr>
                <w:sz w:val="18"/>
              </w:rPr>
              <w:t>21 under Activities + 4 under Adjustments</w:t>
            </w:r>
          </w:p>
        </w:tc>
        <w:tc>
          <w:tcPr>
            <w:tcW w:type="dxa" w:w="2208"/>
          </w:tcPr>
          <w:p>
            <w:pPr>
              <w:spacing w:after="0"/>
            </w:pPr>
            <w:r>
              <w:rPr>
                <w:sz w:val="18"/>
              </w:rPr>
              <w:t>—</w:t>
            </w:r>
          </w:p>
        </w:tc>
        <w:tc>
          <w:tcPr>
            <w:tcW w:type="dxa" w:w="2208"/>
          </w:tcPr>
          <w:p>
            <w:pPr>
              <w:spacing w:after="0"/>
            </w:pPr>
            <w:r>
              <w:rPr>
                <w:sz w:val="18"/>
              </w:rPr>
              <w:t>not itemised on the page ("the activity line items are not exposed as text")</w:t>
            </w:r>
          </w:p>
        </w:tc>
        <w:tc>
          <w:tcPr>
            <w:tcW w:type="dxa" w:w="2208"/>
          </w:tcPr>
          <w:p>
            <w:pPr>
              <w:spacing w:after="0"/>
            </w:pPr>
            <w:r>
              <w:rPr>
                <w:sz w:val="18"/>
              </w:rPr>
              <w:t>6 under Activities + 1 Counterfactual</w:t>
            </w:r>
          </w:p>
        </w:tc>
        <w:tc>
          <w:tcPr>
            <w:tcW w:type="dxa" w:w="2208"/>
          </w:tcPr>
          <w:p>
            <w:pPr>
              <w:spacing w:after="0"/>
            </w:pPr>
            <w:r>
              <w:rPr>
                <w:sz w:val="18"/>
              </w:rPr>
              <w:t>9 under Activities (counterfactual inside Activities)</w:t>
            </w:r>
          </w:p>
        </w:tc>
      </w:tr>
      <w:tr>
        <w:tc>
          <w:tcPr>
            <w:tcW w:type="dxa" w:w="2208"/>
          </w:tcPr>
          <w:p>
            <w:pPr>
              <w:spacing w:after="0"/>
            </w:pPr>
            <w:r>
              <w:rPr>
                <w:sz w:val="18"/>
              </w:rPr>
              <w:t>Public documents per completed verification round</w:t>
            </w:r>
          </w:p>
        </w:tc>
        <w:tc>
          <w:tcPr>
            <w:tcW w:type="dxa" w:w="2208"/>
          </w:tcPr>
          <w:p>
            <w:pPr>
              <w:spacing w:after="0"/>
            </w:pPr>
            <w:r>
              <w:rPr>
                <w:sz w:val="18"/>
              </w:rPr>
              <w:t>2 (GHG Statement Report + Verification Report), 3 on the round that posted the PDD</w:t>
            </w:r>
          </w:p>
        </w:tc>
        <w:tc>
          <w:tcPr>
            <w:tcW w:type="dxa" w:w="2208"/>
          </w:tcPr>
          <w:p>
            <w:pPr>
              <w:spacing w:after="0"/>
            </w:pPr>
            <w:r>
              <w:rPr>
                <w:sz w:val="18"/>
              </w:rPr>
              <w:t>—</w:t>
            </w:r>
          </w:p>
        </w:tc>
        <w:tc>
          <w:tcPr>
            <w:tcW w:type="dxa" w:w="2208"/>
          </w:tcPr>
          <w:p>
            <w:pPr>
              <w:spacing w:after="0"/>
            </w:pPr>
            <w:r>
              <w:rPr>
                <w:sz w:val="18"/>
              </w:rPr>
              <w:t>2</w:t>
            </w:r>
          </w:p>
        </w:tc>
        <w:tc>
          <w:tcPr>
            <w:tcW w:type="dxa" w:w="2208"/>
          </w:tcPr>
          <w:p>
            <w:pPr>
              <w:spacing w:after="0"/>
            </w:pPr>
            <w:r>
              <w:rPr>
                <w:sz w:val="18"/>
              </w:rPr>
              <w:t>2</w:t>
            </w:r>
          </w:p>
        </w:tc>
        <w:tc>
          <w:tcPr>
            <w:tcW w:type="dxa" w:w="2208"/>
          </w:tcPr>
          <w:p>
            <w:pPr>
              <w:spacing w:after="0"/>
            </w:pPr>
            <w:r>
              <w:rPr>
                <w:sz w:val="18"/>
              </w:rPr>
              <w:t>2</w:t>
            </w:r>
          </w:p>
        </w:tc>
      </w:tr>
    </w:tbl>
    <w:p/>
    <w:p>
      <w:pPr>
        <w:sectPr>
          <w:pgSz w:w="15840" w:h="12240" w:orient="landscape"/>
          <w:pgMar w:top="1296" w:right="1296" w:bottom="1296" w:left="1296" w:header="720" w:footer="720" w:gutter="0"/>
          <w:cols w:space="720"/>
          <w:docGrid w:linePitch="360"/>
        </w:sectPr>
      </w:pPr>
    </w:p>
    <w:p>
      <w:r>
        <w:rPr>
          <w:b/>
        </w:rPr>
        <w:t>Are peer PDDs longer or more concise?</w:t>
      </w:r>
      <w:r>
        <w:t xml:space="preserve"> More concise, on every measure available. On pages: Charm public 149 versus 87 / 83 / 65 — at minimum 149 ÷ 65 = 2.3× the shortest and 149 ÷ 87 = 1.7× the longest peer (arithmetic on the page counts above). On the monthly filing: Charm 7 pages / 1,582 words versus Great Plains 3 pages / 960 words; NULIFE's is longer than Charm's at 12 pages. On the registry calculation page: Charm 46 datapoints versus 45 / 16 / 12. Charm's stand-alone monthly report is already pointer-style: "Charm's answers in D.1 and D.2 are each the single line 'Please see corresponding PDD Appendix' (pp. 5 and 6)". The weight sits in the PDD, not the monthly report.</w:t>
      </w:r>
    </w:p>
    <w:p>
      <w:r>
        <w:rPr>
          <w:b/>
        </w:rPr>
        <w:t>Where Charm's extra length comes from</w:t>
      </w:r>
      <w:r>
        <w:t xml:space="preserve"> — split using only the internal v1.12 section word counts in </w:t>
      </w:r>
      <w:r>
        <w:rPr>
          <w:rFonts w:ascii="Consolas" w:hAnsi="Consolas" w:eastAsia="Consolas"/>
        </w:rPr>
        <w:t>02_charm_pdd_baseline.md</w:t>
      </w:r>
      <w:r>
        <w:t xml:space="preserve"> (computed counts, method defined in that file):</w:t>
      </w:r>
    </w:p>
    <w:p>
      <w:r>
        <w:t xml:space="preserve">(a) </w:t>
      </w:r>
      <w:r>
        <w:rPr>
          <w:b/>
        </w:rPr>
        <w:t>Scope peers do not have</w:t>
      </w:r>
      <w:r>
        <w:t xml:space="preserve"> — 18,428 words, arithmetic: Appendix 7 BCU 1,138 + Appendix 8 Basco 6 permanence plan 3,847 + Appendix 9 well closure 803 + Appendix 10 subsurface characterisation 984 + Appendix 11 biochar 4,548 + Appendices 1–5 feedstock 1,238 + 1,450 + 1,469 + 1,480 + 1,471 = 18,428. Of this, the Basco 6 set (Appendices 8–10, 5,634 words) exists because Charm operates its own well: "The following deviations from the Protocol are required on account of the project design". The biochar appendix exists because Charm files three protocols ("Bio Oil Geological Storage", "Biochar Production and Storage", "Biochar Storage in Agricultural Soils"). The BCU appendix exists because Charm burns diesel and offsets it — NULIFE has none ("Currently the HTL system does not utilize fuel"). The five feedstock appendices follow the same module template the peers use ("This Appendix must be completed for each feedstock type and feedstock provider used in this Project."); Great Plains has twelve of them, so feedstock-appendix count is scope-driven on both sides, not a Charm excess. Section F's change log (2,100 words) is also scope-driven in the sense that it records five dated changes; NULIFE's is empty ("F.1 blank, F.2 'N/A', F.3 table empty").</w:t>
      </w:r>
    </w:p>
    <w:p>
      <w:r>
        <w:t xml:space="preserve">(b) </w:t>
      </w:r>
      <w:r>
        <w:rPr>
          <w:b/>
        </w:rPr>
        <w:t>Content peers file outside the PDD or answer by pointer</w:t>
      </w:r>
      <w:r>
        <w:t xml:space="preserve"> — 21,785 words, arithmetic: Appendix 6 GHG Statement Report 16,191 + Section B Monitoring Plan cell 3,527 + Section B uncertainty justification cell 2,067 = 21,785. This is 37.0% of the 58,881-word document (21,785 ÷ 58,881 = 0.370). Peers handle the same prompts by pointer: Great Plains "Vaulted has submitted a completed monitoring plan alongside this PDD" (p.11) and "Full sensitivity analysis and calculations can be found in the Vaulted GHG Statement_12.20.23." (p.15); NULIFE "Details on specific calculation formulas can be found in Isometric Certify software in the LCA section." (GHG Statement p5); TIRE "Please refer to the TIRE PDD for a detailed explanation of assumptions and choices made." (ghg1 p.5). Great Plains' verifier accepted the pointer form: "Acceptable – PPD completed / updated appropriately and submitted." (VR p.14).</w:t>
      </w:r>
    </w:p>
    <w:p>
      <w:r>
        <w:t xml:space="preserve">(c) </w:t>
      </w:r>
      <w:r>
        <w:rPr>
          <w:b/>
        </w:rPr>
        <w:t>Repeated boilerplate</w:t>
      </w:r>
      <w:r>
        <w:t xml:space="preserve"> — cannot be given a word figure from the inputs. What the baseline says: Appendix 6 has "Roughly 30 emission lines, each written out four times (Data Source; Data Quality Assessment; Calculation Methodology; Justification; Unit/Frequency; Modifications to Address Uncertainty). Most of the boilerplate on GLEC, GREET, ATRI, EPA 'reputable source' status is repeated per line." and there are "Four near-identical feedstock appendices (2–5, computed at 1,450 / 1,469 / 1,480 / 1,471 words) repeating the same eligibility tables and EC14 justification". The boilerplate overlaps (a) and (b) — it is the repetition inside Appendix 6 and inside the feedstock appendices, not a separate block — so no third number can be added without double counting. The remaining 58,881 − 18,428 − 21,785 = 18,668 words are Sections A–E, the rest of Section B, and the Section F change log, which are common-template content and cannot be split further from the inputs.</w:t>
      </w:r>
    </w:p>
    <w:p>
      <w:r>
        <w:rPr>
          <w:b/>
        </w:rPr>
        <w:t>Public v1.11 vs internal v1.12.</w:t>
      </w:r>
      <w:r>
        <w:t xml:space="preserve"> "</w:t>
      </w:r>
      <w:r>
        <w:rPr>
          <w:b/>
        </w:rPr>
        <w:t>Verdict: MISMATCH.</w:t>
      </w:r>
      <w:r>
        <w:t xml:space="preserve"> Public = v1.11 (2025/10/21); internal = v1.12 (2025/12/01). The public file is also, by its own metadata title, the '[Without Biochar Appendix]' build." The difference is two appendices (Boulder Creek feedstock; Biochar) and renumbering: "Sections A–F have identical TOC page starts in both versions, so the structural difference between v1.11 and v1.12 is confined to the appendices". See §7.</w:t>
      </w:r>
    </w:p>
    <w:p>
      <w:pPr>
        <w:pStyle w:val="Heading2"/>
      </w:pPr>
      <w:r>
        <w:t>4. Design resemblances and differences</w:t>
      </w:r>
    </w:p>
    <w:p>
      <w:pPr>
        <w:sectPr>
          <w:pgSz w:w="12240" w:h="15840"/>
          <w:pgMar w:top="1296" w:right="1296" w:bottom="1296" w:left="1296" w:header="720" w:footer="720" w:gutter="0"/>
          <w:cols w:space="720"/>
          <w:docGrid w:linePitch="360"/>
        </w:sectPr>
      </w:pPr>
    </w:p>
    <w:tbl>
      <w:tblPr>
        <w:tblStyle w:val="TableGrid"/>
        <w:tblW w:type="auto" w:w="0"/>
        <w:tblLook w:firstColumn="1" w:firstRow="1" w:lastColumn="0" w:lastRow="0" w:noHBand="0" w:noVBand="1" w:val="04A0"/>
      </w:tblPr>
      <w:tblGrid>
        <w:gridCol w:w="2208"/>
        <w:gridCol w:w="2208"/>
        <w:gridCol w:w="2208"/>
        <w:gridCol w:w="2208"/>
        <w:gridCol w:w="2208"/>
        <w:gridCol w:w="2208"/>
      </w:tblGrid>
      <w:tr>
        <w:tc>
          <w:tcPr>
            <w:tcW w:type="dxa" w:w="2208"/>
            <w:shd w:val="clear" w:color="auto" w:fill="D6E4F0"/>
          </w:tcPr>
          <w:p>
            <w:pPr>
              <w:spacing w:after="0"/>
            </w:pPr>
            <w:r>
              <w:rPr>
                <w:b/>
                <w:sz w:val="18"/>
              </w:rPr>
              <w:t>Area</w:t>
            </w:r>
          </w:p>
        </w:tc>
        <w:tc>
          <w:tcPr>
            <w:tcW w:type="dxa" w:w="2208"/>
            <w:shd w:val="clear" w:color="auto" w:fill="D6E4F0"/>
          </w:tcPr>
          <w:p>
            <w:pPr>
              <w:spacing w:after="0"/>
            </w:pPr>
            <w:r>
              <w:rPr>
                <w:b/>
                <w:sz w:val="18"/>
              </w:rPr>
              <w:t>Charm</w:t>
            </w:r>
          </w:p>
        </w:tc>
        <w:tc>
          <w:tcPr>
            <w:tcW w:type="dxa" w:w="2208"/>
            <w:shd w:val="clear" w:color="auto" w:fill="D6E4F0"/>
          </w:tcPr>
          <w:p>
            <w:pPr>
              <w:spacing w:after="0"/>
            </w:pPr>
            <w:r>
              <w:rPr>
                <w:b/>
                <w:sz w:val="18"/>
              </w:rPr>
              <w:t>NULIFE</w:t>
            </w:r>
          </w:p>
        </w:tc>
        <w:tc>
          <w:tcPr>
            <w:tcW w:type="dxa" w:w="2208"/>
            <w:shd w:val="clear" w:color="auto" w:fill="D6E4F0"/>
          </w:tcPr>
          <w:p>
            <w:pPr>
              <w:spacing w:after="0"/>
            </w:pPr>
            <w:r>
              <w:rPr>
                <w:b/>
                <w:sz w:val="18"/>
              </w:rPr>
              <w:t>Vaulted Great Plains</w:t>
            </w:r>
          </w:p>
        </w:tc>
        <w:tc>
          <w:tcPr>
            <w:tcW w:type="dxa" w:w="2208"/>
            <w:shd w:val="clear" w:color="auto" w:fill="D6E4F0"/>
          </w:tcPr>
          <w:p>
            <w:pPr>
              <w:spacing w:after="0"/>
            </w:pPr>
            <w:r>
              <w:rPr>
                <w:b/>
                <w:sz w:val="18"/>
              </w:rPr>
              <w:t>Vaulted TIRE</w:t>
            </w:r>
          </w:p>
        </w:tc>
        <w:tc>
          <w:tcPr>
            <w:tcW w:type="dxa" w:w="2208"/>
            <w:shd w:val="clear" w:color="auto" w:fill="D6E4F0"/>
          </w:tcPr>
          <w:p>
            <w:pPr>
              <w:spacing w:after="0"/>
            </w:pPr>
            <w:r>
              <w:rPr>
                <w:b/>
                <w:sz w:val="18"/>
              </w:rPr>
              <w:t>Verdict</w:t>
            </w:r>
          </w:p>
        </w:tc>
      </w:tr>
      <w:tr>
        <w:tc>
          <w:tcPr>
            <w:tcW w:type="dxa" w:w="2208"/>
          </w:tcPr>
          <w:p>
            <w:pPr>
              <w:spacing w:after="0"/>
            </w:pPr>
            <w:r>
              <w:rPr>
                <w:sz w:val="18"/>
              </w:rPr>
              <w:t>Feedstock / production</w:t>
            </w:r>
          </w:p>
        </w:tc>
        <w:tc>
          <w:tcPr>
            <w:tcW w:type="dxa" w:w="2208"/>
          </w:tcPr>
          <w:p>
            <w:pPr>
              <w:spacing w:after="0"/>
            </w:pPr>
            <w:r>
              <w:rPr>
                <w:sz w:val="18"/>
              </w:rPr>
              <w:t>Woody biomass → pyrolysis (Fort Lupton) + purchased AECN oil; Kerry oil</w:t>
            </w:r>
          </w:p>
        </w:tc>
        <w:tc>
          <w:tcPr>
            <w:tcW w:type="dxa" w:w="2208"/>
          </w:tcPr>
          <w:p>
            <w:pPr>
              <w:spacing w:after="0"/>
            </w:pPr>
            <w:r>
              <w:rPr>
                <w:sz w:val="18"/>
              </w:rPr>
              <w:t>Food-processing wastes → HTL, electric heat, no fuel</w:t>
            </w:r>
          </w:p>
        </w:tc>
        <w:tc>
          <w:tcPr>
            <w:tcW w:type="dxa" w:w="2208"/>
          </w:tcPr>
          <w:p>
            <w:pPr>
              <w:spacing w:after="0"/>
            </w:pPr>
            <w:r>
              <w:rPr>
                <w:sz w:val="18"/>
              </w:rPr>
              <w:t>Manure, biosolids, woody waste — injected as is</w:t>
            </w:r>
          </w:p>
        </w:tc>
        <w:tc>
          <w:tcPr>
            <w:tcW w:type="dxa" w:w="2208"/>
          </w:tcPr>
          <w:p>
            <w:pPr>
              <w:spacing w:after="0"/>
            </w:pPr>
            <w:r>
              <w:rPr>
                <w:sz w:val="18"/>
              </w:rPr>
              <w:t>LA biosolids — injected as is</w:t>
            </w:r>
          </w:p>
        </w:tc>
        <w:tc>
          <w:tcPr>
            <w:tcW w:type="dxa" w:w="2208"/>
          </w:tcPr>
          <w:p>
            <w:pPr>
              <w:spacing w:after="0"/>
            </w:pPr>
            <w:r>
              <w:rPr>
                <w:sz w:val="18"/>
              </w:rPr>
              <w:t>Differs: only NULIFE converts biomass; Charm alone has two producers plus a third-party oil</w:t>
            </w:r>
          </w:p>
        </w:tc>
      </w:tr>
      <w:tr>
        <w:tc>
          <w:tcPr>
            <w:tcW w:type="dxa" w:w="2208"/>
          </w:tcPr>
          <w:p>
            <w:pPr>
              <w:spacing w:after="0"/>
            </w:pPr>
            <w:r>
              <w:rPr>
                <w:sz w:val="18"/>
              </w:rPr>
              <w:t>Transport</w:t>
            </w:r>
          </w:p>
        </w:tc>
        <w:tc>
          <w:tcPr>
            <w:tcW w:type="dxa" w:w="2208"/>
          </w:tcPr>
          <w:p>
            <w:pPr>
              <w:spacing w:after="0"/>
            </w:pPr>
            <w:r>
              <w:rPr>
                <w:sz w:val="18"/>
              </w:rPr>
              <w:t>Truck + rail, Quebec/Colorado → Kansas → Kansas or Louisiana; "the longest route is assumed"</w:t>
            </w:r>
          </w:p>
        </w:tc>
        <w:tc>
          <w:tcPr>
            <w:tcW w:type="dxa" w:w="2208"/>
          </w:tcPr>
          <w:p>
            <w:pPr>
              <w:spacing w:after="0"/>
            </w:pPr>
            <w:r>
              <w:rPr>
                <w:sz w:val="18"/>
              </w:rPr>
              <w:t>Tanker truck 347 km; "a 5% increase in transport distance"</w:t>
            </w:r>
          </w:p>
        </w:tc>
        <w:tc>
          <w:tcPr>
            <w:tcW w:type="dxa" w:w="2208"/>
          </w:tcPr>
          <w:p>
            <w:pPr>
              <w:spacing w:after="0"/>
            </w:pPr>
            <w:r>
              <w:rPr>
                <w:sz w:val="18"/>
              </w:rPr>
              <w:t>Dump truck "38 miles"</w:t>
            </w:r>
          </w:p>
        </w:tc>
        <w:tc>
          <w:tcPr>
            <w:tcW w:type="dxa" w:w="2208"/>
          </w:tcPr>
          <w:p>
            <w:pPr>
              <w:spacing w:after="0"/>
            </w:pPr>
            <w:r>
              <w:rPr>
                <w:sz w:val="18"/>
              </w:rPr>
              <w:t>Truck "26.3 miles" (registry 17.24 km)</w:t>
            </w:r>
          </w:p>
        </w:tc>
        <w:tc>
          <w:tcPr>
            <w:tcW w:type="dxa" w:w="2208"/>
          </w:tcPr>
          <w:p>
            <w:pPr>
              <w:spacing w:after="0"/>
            </w:pPr>
            <w:r>
              <w:rPr>
                <w:sz w:val="18"/>
              </w:rPr>
              <w:t>Differs: Charm is multi-leg and multi-modal</w:t>
            </w:r>
          </w:p>
        </w:tc>
      </w:tr>
      <w:tr>
        <w:tc>
          <w:tcPr>
            <w:tcW w:type="dxa" w:w="2208"/>
          </w:tcPr>
          <w:p>
            <w:pPr>
              <w:spacing w:after="0"/>
            </w:pPr>
            <w:r>
              <w:rPr>
                <w:sz w:val="18"/>
              </w:rPr>
              <w:t>Pre-processing</w:t>
            </w:r>
          </w:p>
        </w:tc>
        <w:tc>
          <w:tcPr>
            <w:tcW w:type="dxa" w:w="2208"/>
          </w:tcPr>
          <w:p>
            <w:pPr>
              <w:spacing w:after="0"/>
            </w:pPr>
            <w:r>
              <w:rPr>
                <w:sz w:val="18"/>
              </w:rPr>
              <w:t>El Dorado KS sparging, salt + LCS, thermal oxidizer</w:t>
            </w:r>
          </w:p>
        </w:tc>
        <w:tc>
          <w:tcPr>
            <w:tcW w:type="dxa" w:w="2208"/>
          </w:tcPr>
          <w:p>
            <w:pPr>
              <w:spacing w:after="0"/>
            </w:pPr>
            <w:r>
              <w:rPr>
                <w:sz w:val="18"/>
              </w:rPr>
              <w:t>none</w:t>
            </w:r>
          </w:p>
        </w:tc>
        <w:tc>
          <w:tcPr>
            <w:tcW w:type="dxa" w:w="2208"/>
          </w:tcPr>
          <w:p>
            <w:pPr>
              <w:spacing w:after="0"/>
            </w:pPr>
            <w:r>
              <w:rPr>
                <w:sz w:val="18"/>
              </w:rPr>
              <w:t>brine slurry + grinding</w:t>
            </w:r>
          </w:p>
        </w:tc>
        <w:tc>
          <w:tcPr>
            <w:tcW w:type="dxa" w:w="2208"/>
          </w:tcPr>
          <w:p>
            <w:pPr>
              <w:spacing w:after="0"/>
            </w:pPr>
            <w:r>
              <w:rPr>
                <w:sz w:val="18"/>
              </w:rPr>
              <w:t>"minimal pre-treatment"</w:t>
            </w:r>
          </w:p>
        </w:tc>
        <w:tc>
          <w:tcPr>
            <w:tcW w:type="dxa" w:w="2208"/>
          </w:tcPr>
          <w:p>
            <w:pPr>
              <w:spacing w:after="0"/>
            </w:pPr>
            <w:r>
              <w:rPr>
                <w:sz w:val="18"/>
              </w:rPr>
              <w:t>Differs: Charm alone adds consumables that must be netted out</w:t>
            </w:r>
          </w:p>
        </w:tc>
      </w:tr>
      <w:tr>
        <w:tc>
          <w:tcPr>
            <w:tcW w:type="dxa" w:w="2208"/>
          </w:tcPr>
          <w:p>
            <w:pPr>
              <w:spacing w:after="0"/>
            </w:pPr>
            <w:r>
              <w:rPr>
                <w:sz w:val="18"/>
              </w:rPr>
              <w:t>Storage</w:t>
            </w:r>
          </w:p>
        </w:tc>
        <w:tc>
          <w:tcPr>
            <w:tcW w:type="dxa" w:w="2208"/>
          </w:tcPr>
          <w:p>
            <w:pPr>
              <w:spacing w:after="0"/>
            </w:pPr>
            <w:r>
              <w:rPr>
                <w:sz w:val="18"/>
              </w:rPr>
              <w:t>Vaulted Hutchinson caverns (KS-05-155-003) + own Basco 6 Class V well (Lower Miocene)</w:t>
            </w:r>
          </w:p>
        </w:tc>
        <w:tc>
          <w:tcPr>
            <w:tcW w:type="dxa" w:w="2208"/>
          </w:tcPr>
          <w:p>
            <w:pPr>
              <w:spacing w:after="0"/>
            </w:pPr>
            <w:r>
              <w:rPr>
                <w:sz w:val="18"/>
              </w:rPr>
              <w:t>third-party salt cavern, Saskatchewan</w:t>
            </w:r>
          </w:p>
        </w:tc>
        <w:tc>
          <w:tcPr>
            <w:tcW w:type="dxa" w:w="2208"/>
          </w:tcPr>
          <w:p>
            <w:pPr>
              <w:spacing w:after="0"/>
            </w:pPr>
            <w:r>
              <w:rPr>
                <w:sz w:val="18"/>
              </w:rPr>
              <w:t>Hutchinson caverns</w:t>
            </w:r>
          </w:p>
        </w:tc>
        <w:tc>
          <w:tcPr>
            <w:tcW w:type="dxa" w:w="2208"/>
          </w:tcPr>
          <w:p>
            <w:pPr>
              <w:spacing w:after="0"/>
            </w:pPr>
            <w:r>
              <w:rPr>
                <w:sz w:val="18"/>
              </w:rPr>
              <w:t>own permeable-reservoir wells, California</w:t>
            </w:r>
          </w:p>
        </w:tc>
        <w:tc>
          <w:tcPr>
            <w:tcW w:type="dxa" w:w="2208"/>
          </w:tcPr>
          <w:p>
            <w:pPr>
              <w:spacing w:after="0"/>
            </w:pPr>
            <w:r>
              <w:rPr>
                <w:sz w:val="18"/>
              </w:rPr>
              <w:t>Resembles: Charm shares the Kansas site with Great Plains and the permeable-reservoir class with TIRE; Charm alone runs both storage types</w:t>
            </w:r>
          </w:p>
        </w:tc>
      </w:tr>
      <w:tr>
        <w:tc>
          <w:tcPr>
            <w:tcW w:type="dxa" w:w="2208"/>
          </w:tcPr>
          <w:p>
            <w:pPr>
              <w:spacing w:after="0"/>
            </w:pPr>
            <w:r>
              <w:rPr>
                <w:sz w:val="18"/>
              </w:rPr>
              <w:t>Batch definition</w:t>
            </w:r>
          </w:p>
        </w:tc>
        <w:tc>
          <w:tcPr>
            <w:tcW w:type="dxa" w:w="2208"/>
          </w:tcPr>
          <w:p>
            <w:pPr>
              <w:spacing w:after="0"/>
            </w:pPr>
            <w:r>
              <w:rPr>
                <w:sz w:val="18"/>
              </w:rPr>
              <w:t>"Once a given Lot, or batched combination of several split Lots, is injected it is then logged as a Removal"; weekly injection batches</w:t>
            </w:r>
          </w:p>
        </w:tc>
        <w:tc>
          <w:tcPr>
            <w:tcW w:type="dxa" w:w="2208"/>
          </w:tcPr>
          <w:p>
            <w:pPr>
              <w:spacing w:after="0"/>
            </w:pPr>
            <w:r>
              <w:rPr>
                <w:sz w:val="18"/>
              </w:rPr>
              <w:t>production run = "a day of operation"; removal = blended tank shipment</w:t>
            </w:r>
          </w:p>
        </w:tc>
        <w:tc>
          <w:tcPr>
            <w:tcW w:type="dxa" w:w="2208"/>
          </w:tcPr>
          <w:p>
            <w:pPr>
              <w:spacing w:after="0"/>
            </w:pPr>
            <w:r>
              <w:rPr>
                <w:sz w:val="18"/>
              </w:rPr>
              <w:t>one day's deliveries</w:t>
            </w:r>
          </w:p>
        </w:tc>
        <w:tc>
          <w:tcPr>
            <w:tcW w:type="dxa" w:w="2208"/>
          </w:tcPr>
          <w:p>
            <w:pPr>
              <w:spacing w:after="0"/>
            </w:pPr>
            <w:r>
              <w:rPr>
                <w:sz w:val="18"/>
              </w:rPr>
              <w:t>one truck load</w:t>
            </w:r>
          </w:p>
        </w:tc>
        <w:tc>
          <w:tcPr>
            <w:tcW w:type="dxa" w:w="2208"/>
          </w:tcPr>
          <w:p>
            <w:pPr>
              <w:spacing w:after="0"/>
            </w:pPr>
            <w:r>
              <w:rPr>
                <w:sz w:val="18"/>
              </w:rPr>
              <w:t>Differs in grain; resembles in layering (production unit feeding an injection unit)</w:t>
            </w:r>
          </w:p>
        </w:tc>
      </w:tr>
      <w:tr>
        <w:tc>
          <w:tcPr>
            <w:tcW w:type="dxa" w:w="2208"/>
          </w:tcPr>
          <w:p>
            <w:pPr>
              <w:spacing w:after="0"/>
            </w:pPr>
            <w:r>
              <w:rPr>
                <w:sz w:val="18"/>
              </w:rPr>
              <w:t>Carbon sampling</w:t>
            </w:r>
          </w:p>
        </w:tc>
        <w:tc>
          <w:tcPr>
            <w:tcW w:type="dxa" w:w="2208"/>
          </w:tcPr>
          <w:p>
            <w:pPr>
              <w:spacing w:after="0"/>
            </w:pPr>
            <w:r>
              <w:rPr>
                <w:sz w:val="18"/>
              </w:rPr>
              <w:t>"a sample is taken for each injection batch" — Method A, one sample</w:t>
            </w:r>
          </w:p>
        </w:tc>
        <w:tc>
          <w:tcPr>
            <w:tcW w:type="dxa" w:w="2208"/>
          </w:tcPr>
          <w:p>
            <w:pPr>
              <w:spacing w:after="0"/>
            </w:pPr>
            <w:r>
              <w:rPr>
                <w:sz w:val="18"/>
              </w:rPr>
              <w:t>"A minimum of 3 samples are taken per HTL production batch" — Method A, in duplicate</w:t>
            </w:r>
          </w:p>
        </w:tc>
        <w:tc>
          <w:tcPr>
            <w:tcW w:type="dxa" w:w="2208"/>
          </w:tcPr>
          <w:p>
            <w:pPr>
              <w:spacing w:after="0"/>
            </w:pPr>
            <w:r>
              <w:rPr>
                <w:sz w:val="18"/>
              </w:rPr>
              <w:t>"Method B… triplicate measurement on every 10th batch"</w:t>
            </w:r>
          </w:p>
        </w:tc>
        <w:tc>
          <w:tcPr>
            <w:tcW w:type="dxa" w:w="2208"/>
          </w:tcPr>
          <w:p>
            <w:pPr>
              <w:spacing w:after="0"/>
            </w:pPr>
            <w:r>
              <w:rPr>
                <w:sz w:val="18"/>
              </w:rPr>
              <w:t>"every 10th truck is tested" — Method B</w:t>
            </w:r>
          </w:p>
        </w:tc>
        <w:tc>
          <w:tcPr>
            <w:tcW w:type="dxa" w:w="2208"/>
          </w:tcPr>
          <w:p>
            <w:pPr>
              <w:spacing w:after="0"/>
            </w:pPr>
            <w:r>
              <w:rPr>
                <w:sz w:val="18"/>
              </w:rPr>
              <w:t>Differs: peers are either heavier (NULIFE) or lighter (Vaulted) than Charm</w:t>
            </w:r>
          </w:p>
        </w:tc>
      </w:tr>
      <w:tr>
        <w:tc>
          <w:tcPr>
            <w:tcW w:type="dxa" w:w="2208"/>
          </w:tcPr>
          <w:p>
            <w:pPr>
              <w:spacing w:after="0"/>
            </w:pPr>
            <w:r>
              <w:rPr>
                <w:sz w:val="18"/>
              </w:rPr>
              <w:t>Storage monitoring</w:t>
            </w:r>
          </w:p>
        </w:tc>
        <w:tc>
          <w:tcPr>
            <w:tcW w:type="dxa" w:w="2208"/>
          </w:tcPr>
          <w:p>
            <w:pPr>
              <w:spacing w:after="0"/>
            </w:pPr>
            <w:r>
              <w:rPr>
                <w:sz w:val="18"/>
              </w:rPr>
              <w:t>19 Kansas parameters written into Section B; Basco 6 six-monthly gas/corrosion, annual MIT/falloff/tracer</w:t>
            </w:r>
          </w:p>
        </w:tc>
        <w:tc>
          <w:tcPr>
            <w:tcW w:type="dxa" w:w="2208"/>
          </w:tcPr>
          <w:p>
            <w:pPr>
              <w:spacing w:after="0"/>
            </w:pPr>
            <w:r>
              <w:rPr>
                <w:sz w:val="18"/>
              </w:rPr>
              <w:t>operator's CSA Z341.2 permit programme; MIT "Every 5 years"</w:t>
            </w:r>
          </w:p>
        </w:tc>
        <w:tc>
          <w:tcPr>
            <w:tcW w:type="dxa" w:w="2208"/>
          </w:tcPr>
          <w:p>
            <w:pPr>
              <w:spacing w:after="0"/>
            </w:pPr>
            <w:r>
              <w:rPr>
                <w:sz w:val="18"/>
              </w:rPr>
              <w:t>KDHE permit programme (quarterly groundwater, quarterly sonar, monthly reports)</w:t>
            </w:r>
          </w:p>
        </w:tc>
        <w:tc>
          <w:tcPr>
            <w:tcW w:type="dxa" w:w="2208"/>
          </w:tcPr>
          <w:p>
            <w:pPr>
              <w:spacing w:after="0"/>
            </w:pPr>
            <w:r>
              <w:rPr>
                <w:sz w:val="18"/>
              </w:rPr>
              <w:t>EPA Class V permit table, mostly continuous/quarterly</w:t>
            </w:r>
          </w:p>
        </w:tc>
        <w:tc>
          <w:tcPr>
            <w:tcW w:type="dxa" w:w="2208"/>
          </w:tcPr>
          <w:p>
            <w:pPr>
              <w:spacing w:after="0"/>
            </w:pPr>
            <w:r>
              <w:rPr>
                <w:sz w:val="18"/>
              </w:rPr>
              <w:t>Resembles GP/TIRE in relying on the permit; Charm alone writes a bespoke plan into the PDD</w:t>
            </w:r>
          </w:p>
        </w:tc>
      </w:tr>
      <w:tr>
        <w:tc>
          <w:tcPr>
            <w:tcW w:type="dxa" w:w="2208"/>
          </w:tcPr>
          <w:p>
            <w:pPr>
              <w:spacing w:after="0"/>
            </w:pPr>
            <w:r>
              <w:rPr>
                <w:sz w:val="18"/>
              </w:rPr>
              <w:t>Uncertainty</w:t>
            </w:r>
          </w:p>
        </w:tc>
        <w:tc>
          <w:tcPr>
            <w:tcW w:type="dxa" w:w="2208"/>
          </w:tcPr>
          <w:p>
            <w:pPr>
              <w:spacing w:after="0"/>
            </w:pPr>
            <w:r>
              <w:rPr>
                <w:sz w:val="18"/>
              </w:rPr>
              <w:t>"Variance propagation"; "Fourteen separately justified measurement half-widths, each propagated"; registry "Uncertainty Discount 1.072 t"</w:t>
            </w:r>
          </w:p>
        </w:tc>
        <w:tc>
          <w:tcPr>
            <w:tcW w:type="dxa" w:w="2208"/>
          </w:tcPr>
          <w:p>
            <w:pPr>
              <w:spacing w:after="0"/>
            </w:pPr>
            <w:r>
              <w:rPr>
                <w:sz w:val="18"/>
              </w:rPr>
              <w:t>same box; sink inputs "does not require an uncertainty discount"; registry 45 kg</w:t>
            </w:r>
          </w:p>
        </w:tc>
        <w:tc>
          <w:tcPr>
            <w:tcW w:type="dxa" w:w="2208"/>
          </w:tcPr>
          <w:p>
            <w:pPr>
              <w:spacing w:after="0"/>
            </w:pPr>
            <w:r>
              <w:rPr>
                <w:sz w:val="18"/>
              </w:rPr>
              <w:t>same box; only carbon content treated, via mean − standard error</w:t>
            </w:r>
          </w:p>
        </w:tc>
        <w:tc>
          <w:tcPr>
            <w:tcW w:type="dxa" w:w="2208"/>
          </w:tcPr>
          <w:p>
            <w:pPr>
              <w:spacing w:after="0"/>
            </w:pPr>
            <w:r>
              <w:rPr>
                <w:sz w:val="18"/>
              </w:rPr>
              <w:t>same box; "Uncertainty Discount</w:t>
            </w:r>
          </w:p>
        </w:tc>
        <w:tc>
          <w:tcPr>
            <w:tcW w:type="dxa" w:w="2208"/>
          </w:tcPr>
          <w:p>
            <w:pPr>
              <w:spacing w:after="0"/>
            </w:pPr>
            <w:r>
              <w:rPr>
                <w:sz w:val="18"/>
              </w:rPr>
              <w:t>0.00"</w:t>
            </w:r>
          </w:p>
        </w:tc>
      </w:tr>
      <w:tr>
        <w:tc>
          <w:tcPr>
            <w:tcW w:type="dxa" w:w="2208"/>
          </w:tcPr>
          <w:p>
            <w:pPr>
              <w:spacing w:after="0"/>
            </w:pPr>
            <w:r>
              <w:rPr>
                <w:sz w:val="18"/>
              </w:rPr>
              <w:t>Embodied emissions</w:t>
            </w:r>
          </w:p>
        </w:tc>
        <w:tc>
          <w:tcPr>
            <w:tcW w:type="dxa" w:w="2208"/>
          </w:tcPr>
          <w:p>
            <w:pPr>
              <w:spacing w:after="0"/>
            </w:pPr>
            <w:r>
              <w:rPr>
                <w:sz w:val="18"/>
              </w:rPr>
              <w:t>inventory + GREET/EcoInvent/NAICS/USLCI/ICE/Athena, amortised; per-mile truck and railcar; monthly Basco inventory workbook</w:t>
            </w:r>
          </w:p>
        </w:tc>
        <w:tc>
          <w:tcPr>
            <w:tcW w:type="dxa" w:w="2208"/>
          </w:tcPr>
          <w:p>
            <w:pPr>
              <w:spacing w:after="0"/>
            </w:pPr>
            <w:r>
              <w:rPr>
                <w:sz w:val="18"/>
              </w:rPr>
              <w:t>mass-based, "Attribution factor 0.08%", pre-existing sites excluded</w:t>
            </w:r>
          </w:p>
        </w:tc>
        <w:tc>
          <w:tcPr>
            <w:tcW w:type="dxa" w:w="2208"/>
          </w:tcPr>
          <w:p>
            <w:pPr>
              <w:spacing w:after="0"/>
            </w:pPr>
            <w:r>
              <w:rPr>
                <w:sz w:val="18"/>
              </w:rPr>
              <w:t>two site-manager factors (steel, concrete) over 2,000,000 t</w:t>
            </w:r>
          </w:p>
        </w:tc>
        <w:tc>
          <w:tcPr>
            <w:tcW w:type="dxa" w:w="2208"/>
          </w:tcPr>
          <w:p>
            <w:pPr>
              <w:spacing w:after="0"/>
            </w:pPr>
            <w:r>
              <w:rPr>
                <w:sz w:val="18"/>
              </w:rPr>
              <w:t>"passed upfront", then "0 tons"</w:t>
            </w:r>
          </w:p>
        </w:tc>
        <w:tc>
          <w:tcPr>
            <w:tcW w:type="dxa" w:w="2208"/>
          </w:tcPr>
          <w:p>
            <w:pPr>
              <w:spacing w:after="0"/>
            </w:pPr>
            <w:r>
              <w:rPr>
                <w:sz w:val="18"/>
              </w:rPr>
              <w:t>Differs: Charm's is the most granular</w:t>
            </w:r>
          </w:p>
        </w:tc>
      </w:tr>
      <w:tr>
        <w:tc>
          <w:tcPr>
            <w:tcW w:type="dxa" w:w="2208"/>
          </w:tcPr>
          <w:p>
            <w:pPr>
              <w:spacing w:after="0"/>
            </w:pPr>
            <w:r>
              <w:rPr>
                <w:sz w:val="18"/>
              </w:rPr>
              <w:t>Leakage / buffer / reversal</w:t>
            </w:r>
          </w:p>
        </w:tc>
        <w:tc>
          <w:tcPr>
            <w:tcW w:type="dxa" w:w="2208"/>
          </w:tcPr>
          <w:p>
            <w:pPr>
              <w:spacing w:after="0"/>
            </w:pPr>
            <w:r>
              <w:rPr>
                <w:sz w:val="18"/>
              </w:rPr>
              <w:t>"no identifiable leakage"; "Total Risk Score</w:t>
            </w:r>
          </w:p>
        </w:tc>
        <w:tc>
          <w:tcPr>
            <w:tcW w:type="dxa" w:w="2208"/>
          </w:tcPr>
          <w:p>
            <w:pPr>
              <w:spacing w:after="0"/>
            </w:pPr>
            <w:r>
              <w:rPr>
                <w:sz w:val="18"/>
              </w:rPr>
              <w:t>0"; registry 5% buffer, "risk of reversal… low"</w:t>
            </w:r>
          </w:p>
        </w:tc>
        <w:tc>
          <w:tcPr>
            <w:tcW w:type="dxa" w:w="2208"/>
          </w:tcPr>
          <w:p>
            <w:pPr>
              <w:spacing w:after="0"/>
            </w:pPr>
            <w:r>
              <w:rPr>
                <w:sz w:val="18"/>
              </w:rPr>
              <w:t>1% buffer, "very low"</w:t>
            </w:r>
          </w:p>
        </w:tc>
        <w:tc>
          <w:tcPr>
            <w:tcW w:type="dxa" w:w="2208"/>
          </w:tcPr>
          <w:p>
            <w:pPr>
              <w:spacing w:after="0"/>
            </w:pPr>
            <w:r>
              <w:rPr>
                <w:sz w:val="18"/>
              </w:rPr>
              <w:t>2% buffer, "very low"; verifier "score was 2… Low (1-3) – 5% risk"</w:t>
            </w:r>
          </w:p>
        </w:tc>
        <w:tc>
          <w:tcPr>
            <w:tcW w:type="dxa" w:w="2208"/>
          </w:tcPr>
          <w:p>
            <w:pPr>
              <w:spacing w:after="0"/>
            </w:pPr>
            <w:r>
              <w:rPr>
                <w:sz w:val="18"/>
              </w:rPr>
              <w:t>2%, "very low"</w:t>
            </w:r>
          </w:p>
        </w:tc>
      </w:tr>
    </w:tbl>
    <w:p/>
    <w:p>
      <w:pPr>
        <w:sectPr>
          <w:pgSz w:w="15840" w:h="12240" w:orient="landscape"/>
          <w:pgMar w:top="1296" w:right="1296" w:bottom="1296" w:left="1296" w:header="720" w:footer="720" w:gutter="0"/>
          <w:cols w:space="720"/>
          <w:docGrid w:linePitch="360"/>
        </w:sectPr>
      </w:pPr>
    </w:p>
    <w:p>
      <w:r>
        <w:t>Supporting quotes not in the table: Charm boundary — "All project activities undertaken to permanently sequester carbon are considered within the system boundary including: transportation of biomass feedstock to pyrolysis, the process of pyrolysis itself, transportation of injectate to and from pre-processing, the pre-processing itself, injection and monitoring activities." NULIFE and Great Plains use near-identical opening lines: "All activities undertaken to permanently sequester carbon, at the point of taking ownership of the organic waste, are included in the system boundary." Displaced-brine carbon taper is word-for-word shared between Charm and NULIFE ("Every two weeks for 3 months… then quarterly for 2 years, and finally every 6 months"). Gas-alarm routing is shared: Charm "more appropriate for the well operator to notify Charm… rather than the VVB"; NULIFE "it is more appropriate for NULIFE to be notified".</w:t>
      </w:r>
    </w:p>
    <w:p>
      <w:pPr>
        <w:pStyle w:val="Heading2"/>
      </w:pPr>
      <w:r>
        <w:t>5. Calculation views compared</w:t>
      </w:r>
    </w:p>
    <w:p>
      <w:r>
        <w:rPr>
          <w:b/>
        </w:rPr>
        <w:t>The four trees side by side</w:t>
      </w:r>
      <w:r>
        <w:t xml:space="preserve"> (values as displayed on each registry page):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6E4F0"/>
          </w:tcPr>
          <w:p>
            <w:pPr>
              <w:spacing w:after="0"/>
            </w:pPr>
            <w:r>
              <w:rPr>
                <w:b/>
                <w:sz w:val="18"/>
              </w:rPr>
              <w:t>Node</w:t>
            </w:r>
          </w:p>
        </w:tc>
        <w:tc>
          <w:tcPr>
            <w:tcW w:type="dxa" w:w="1930"/>
            <w:shd w:val="clear" w:color="auto" w:fill="D6E4F0"/>
          </w:tcPr>
          <w:p>
            <w:pPr>
              <w:spacing w:after="0"/>
            </w:pPr>
            <w:r>
              <w:rPr>
                <w:b/>
                <w:sz w:val="18"/>
              </w:rPr>
              <w:t>Charm rmv_1KZBJBN9C1S0M5R5</w:t>
            </w:r>
          </w:p>
        </w:tc>
        <w:tc>
          <w:tcPr>
            <w:tcW w:type="dxa" w:w="1930"/>
            <w:shd w:val="clear" w:color="auto" w:fill="D6E4F0"/>
          </w:tcPr>
          <w:p>
            <w:pPr>
              <w:spacing w:after="0"/>
            </w:pPr>
            <w:r>
              <w:rPr>
                <w:b/>
                <w:sz w:val="18"/>
              </w:rPr>
              <w:t>NULIFE rmv_1M0B59RM61S0BW9G</w:t>
            </w:r>
          </w:p>
        </w:tc>
        <w:tc>
          <w:tcPr>
            <w:tcW w:type="dxa" w:w="1930"/>
            <w:shd w:val="clear" w:color="auto" w:fill="D6E4F0"/>
          </w:tcPr>
          <w:p>
            <w:pPr>
              <w:spacing w:after="0"/>
            </w:pPr>
            <w:r>
              <w:rPr>
                <w:b/>
                <w:sz w:val="18"/>
              </w:rPr>
              <w:t>Great Plains rmv_1M0ACG4FJ1S02V0A</w:t>
            </w:r>
          </w:p>
        </w:tc>
        <w:tc>
          <w:tcPr>
            <w:tcW w:type="dxa" w:w="1930"/>
            <w:shd w:val="clear" w:color="auto" w:fill="D6E4F0"/>
          </w:tcPr>
          <w:p>
            <w:pPr>
              <w:spacing w:after="0"/>
            </w:pPr>
            <w:r>
              <w:rPr>
                <w:b/>
                <w:sz w:val="18"/>
              </w:rPr>
              <w:t>TIRE rmv_1KYD9KRCD1S02J7Q</w:t>
            </w:r>
          </w:p>
        </w:tc>
      </w:tr>
      <w:tr>
        <w:tc>
          <w:tcPr>
            <w:tcW w:type="dxa" w:w="1930"/>
          </w:tcPr>
          <w:p>
            <w:pPr>
              <w:spacing w:after="0"/>
            </w:pPr>
            <w:r>
              <w:rPr>
                <w:sz w:val="18"/>
              </w:rPr>
              <w:t>Net CO₂e Removed</w:t>
            </w:r>
          </w:p>
        </w:tc>
        <w:tc>
          <w:tcPr>
            <w:tcW w:type="dxa" w:w="1930"/>
          </w:tcPr>
          <w:p>
            <w:pPr>
              <w:spacing w:after="0"/>
            </w:pPr>
            <w:r>
              <w:rPr>
                <w:sz w:val="18"/>
              </w:rPr>
              <w:t>159.491 t</w:t>
            </w:r>
          </w:p>
        </w:tc>
        <w:tc>
          <w:tcPr>
            <w:tcW w:type="dxa" w:w="1930"/>
          </w:tcPr>
          <w:p>
            <w:pPr>
              <w:spacing w:after="0"/>
            </w:pPr>
            <w:r>
              <w:rPr>
                <w:sz w:val="18"/>
              </w:rPr>
              <w:t>45.835 t</w:t>
            </w:r>
          </w:p>
        </w:tc>
        <w:tc>
          <w:tcPr>
            <w:tcW w:type="dxa" w:w="1930"/>
          </w:tcPr>
          <w:p>
            <w:pPr>
              <w:spacing w:after="0"/>
            </w:pPr>
            <w:r>
              <w:rPr>
                <w:sz w:val="18"/>
              </w:rPr>
              <w:t>5.908 tCO₂e</w:t>
            </w:r>
          </w:p>
        </w:tc>
        <w:tc>
          <w:tcPr>
            <w:tcW w:type="dxa" w:w="1930"/>
          </w:tcPr>
          <w:p>
            <w:pPr>
              <w:spacing w:after="0"/>
            </w:pPr>
            <w:r>
              <w:rPr>
                <w:sz w:val="18"/>
              </w:rPr>
              <w:t>2.070 tCO₂e</w:t>
            </w:r>
          </w:p>
        </w:tc>
      </w:tr>
      <w:tr>
        <w:tc>
          <w:tcPr>
            <w:tcW w:type="dxa" w:w="1930"/>
          </w:tcPr>
          <w:p>
            <w:pPr>
              <w:spacing w:after="0"/>
            </w:pPr>
            <w:r>
              <w:rPr>
                <w:sz w:val="18"/>
              </w:rPr>
              <w:t>Sequestrations</w:t>
            </w:r>
          </w:p>
        </w:tc>
        <w:tc>
          <w:tcPr>
            <w:tcW w:type="dxa" w:w="1930"/>
          </w:tcPr>
          <w:p>
            <w:pPr>
              <w:spacing w:after="0"/>
            </w:pPr>
            <w:r>
              <w:rPr>
                <w:sz w:val="18"/>
              </w:rPr>
              <w:t>193.725 t</w:t>
            </w:r>
          </w:p>
        </w:tc>
        <w:tc>
          <w:tcPr>
            <w:tcW w:type="dxa" w:w="1930"/>
          </w:tcPr>
          <w:p>
            <w:pPr>
              <w:spacing w:after="0"/>
            </w:pPr>
            <w:r>
              <w:rPr>
                <w:sz w:val="18"/>
              </w:rPr>
              <w:t>47.591 t</w:t>
            </w:r>
          </w:p>
        </w:tc>
        <w:tc>
          <w:tcPr>
            <w:tcW w:type="dxa" w:w="1930"/>
          </w:tcPr>
          <w:p>
            <w:pPr>
              <w:spacing w:after="0"/>
            </w:pPr>
            <w:r>
              <w:rPr>
                <w:sz w:val="18"/>
              </w:rPr>
              <w:t>6.621 tCO₂e (23.532 t × 0.076734 × 3.666667)</w:t>
            </w:r>
          </w:p>
        </w:tc>
        <w:tc>
          <w:tcPr>
            <w:tcW w:type="dxa" w:w="1930"/>
          </w:tcPr>
          <w:p>
            <w:pPr>
              <w:spacing w:after="0"/>
            </w:pPr>
            <w:r>
              <w:rPr>
                <w:sz w:val="18"/>
              </w:rPr>
              <w:t>2.217 tCO₂e (7.242 t × 0.083500 × 3.666667)</w:t>
            </w:r>
          </w:p>
        </w:tc>
      </w:tr>
      <w:tr>
        <w:tc>
          <w:tcPr>
            <w:tcW w:type="dxa" w:w="1930"/>
          </w:tcPr>
          <w:p>
            <w:pPr>
              <w:spacing w:after="0"/>
            </w:pPr>
            <w:r>
              <w:rPr>
                <w:sz w:val="18"/>
              </w:rPr>
              <w:t>Adjustments</w:t>
            </w:r>
          </w:p>
        </w:tc>
        <w:tc>
          <w:tcPr>
            <w:tcW w:type="dxa" w:w="1930"/>
          </w:tcPr>
          <w:p>
            <w:pPr>
              <w:spacing w:after="0"/>
            </w:pPr>
            <w:r>
              <w:rPr>
                <w:sz w:val="18"/>
              </w:rPr>
              <w:t>+ 20.929 tCO₂e (4 BCU lines)</w:t>
            </w:r>
          </w:p>
        </w:tc>
        <w:tc>
          <w:tcPr>
            <w:tcW w:type="dxa" w:w="1930"/>
          </w:tcPr>
          <w:p>
            <w:pPr>
              <w:spacing w:after="0"/>
            </w:pPr>
            <w:r>
              <w:rPr>
                <w:sz w:val="18"/>
              </w:rPr>
              <w:t>none</w:t>
            </w:r>
          </w:p>
        </w:tc>
        <w:tc>
          <w:tcPr>
            <w:tcW w:type="dxa" w:w="1930"/>
          </w:tcPr>
          <w:p>
            <w:pPr>
              <w:spacing w:after="0"/>
            </w:pPr>
            <w:r>
              <w:rPr>
                <w:sz w:val="18"/>
              </w:rPr>
              <w:t>none</w:t>
            </w:r>
          </w:p>
        </w:tc>
        <w:tc>
          <w:tcPr>
            <w:tcW w:type="dxa" w:w="1930"/>
          </w:tcPr>
          <w:p>
            <w:pPr>
              <w:spacing w:after="0"/>
            </w:pPr>
            <w:r>
              <w:rPr>
                <w:sz w:val="18"/>
              </w:rPr>
              <w:t>none</w:t>
            </w:r>
          </w:p>
        </w:tc>
      </w:tr>
      <w:tr>
        <w:tc>
          <w:tcPr>
            <w:tcW w:type="dxa" w:w="1930"/>
          </w:tcPr>
          <w:p>
            <w:pPr>
              <w:spacing w:after="0"/>
            </w:pPr>
            <w:r>
              <w:rPr>
                <w:sz w:val="18"/>
              </w:rPr>
              <w:t>Activities</w:t>
            </w:r>
          </w:p>
        </w:tc>
        <w:tc>
          <w:tcPr>
            <w:tcW w:type="dxa" w:w="1930"/>
          </w:tcPr>
          <w:p>
            <w:pPr>
              <w:spacing w:after="0"/>
            </w:pPr>
            <w:r>
              <w:rPr>
                <w:sz w:val="18"/>
              </w:rPr>
              <w:t>− 54.091 tCO₂e (21 lines in 3 groups)</w:t>
            </w:r>
          </w:p>
        </w:tc>
        <w:tc>
          <w:tcPr>
            <w:tcW w:type="dxa" w:w="1930"/>
          </w:tcPr>
          <w:p>
            <w:pPr>
              <w:spacing w:after="0"/>
            </w:pPr>
            <w:r>
              <w:rPr>
                <w:sz w:val="18"/>
              </w:rPr>
              <w:t>− 1.709 tCO₂e (not itemised)</w:t>
            </w:r>
          </w:p>
        </w:tc>
        <w:tc>
          <w:tcPr>
            <w:tcW w:type="dxa" w:w="1930"/>
          </w:tcPr>
          <w:p>
            <w:pPr>
              <w:spacing w:after="0"/>
            </w:pPr>
            <w:r>
              <w:rPr>
                <w:sz w:val="18"/>
              </w:rPr>
              <w:t>− 384 kgCO₂e (6 lines in 2 groups)</w:t>
            </w:r>
          </w:p>
        </w:tc>
        <w:tc>
          <w:tcPr>
            <w:tcW w:type="dxa" w:w="1930"/>
          </w:tcPr>
          <w:p>
            <w:pPr>
              <w:spacing w:after="0"/>
            </w:pPr>
            <w:r>
              <w:rPr>
                <w:sz w:val="18"/>
              </w:rPr>
              <w:t>− 148 kgCO₂e (9 lines in 2 groups)</w:t>
            </w:r>
          </w:p>
        </w:tc>
      </w:tr>
      <w:tr>
        <w:tc>
          <w:tcPr>
            <w:tcW w:type="dxa" w:w="1930"/>
          </w:tcPr>
          <w:p>
            <w:pPr>
              <w:spacing w:after="0"/>
            </w:pPr>
            <w:r>
              <w:rPr>
                <w:sz w:val="18"/>
              </w:rPr>
              <w:t>Counterfactuals</w:t>
            </w:r>
          </w:p>
        </w:tc>
        <w:tc>
          <w:tcPr>
            <w:tcW w:type="dxa" w:w="1930"/>
          </w:tcPr>
          <w:p>
            <w:pPr>
              <w:spacing w:after="0"/>
            </w:pPr>
            <w:r>
              <w:rPr>
                <w:sz w:val="18"/>
              </w:rPr>
              <w:t>none</w:t>
            </w:r>
          </w:p>
        </w:tc>
        <w:tc>
          <w:tcPr>
            <w:tcW w:type="dxa" w:w="1930"/>
          </w:tcPr>
          <w:p>
            <w:pPr>
              <w:spacing w:after="0"/>
            </w:pPr>
            <w:r>
              <w:rPr>
                <w:sz w:val="18"/>
              </w:rPr>
              <w:t>+ 1 kgCO₂e</w:t>
            </w:r>
          </w:p>
        </w:tc>
        <w:tc>
          <w:tcPr>
            <w:tcW w:type="dxa" w:w="1930"/>
          </w:tcPr>
          <w:p>
            <w:pPr>
              <w:spacing w:after="0"/>
            </w:pPr>
            <w:r>
              <w:rPr>
                <w:sz w:val="18"/>
              </w:rPr>
              <w:t>− 329 kgCO₂e (Replacement Emission)</w:t>
            </w:r>
          </w:p>
        </w:tc>
        <w:tc>
          <w:tcPr>
            <w:tcW w:type="dxa" w:w="1930"/>
          </w:tcPr>
          <w:p>
            <w:pPr>
              <w:spacing w:after="0"/>
            </w:pPr>
            <w:r>
              <w:rPr>
                <w:sz w:val="18"/>
              </w:rPr>
              <w:t>inside Activities: "Counterfactual C Storaget 22 kgCO₂e"</w:t>
            </w:r>
          </w:p>
        </w:tc>
      </w:tr>
      <w:tr>
        <w:tc>
          <w:tcPr>
            <w:tcW w:type="dxa" w:w="1930"/>
          </w:tcPr>
          <w:p>
            <w:pPr>
              <w:spacing w:after="0"/>
            </w:pPr>
            <w:r>
              <w:rPr>
                <w:sz w:val="18"/>
              </w:rPr>
              <w:t>Uncertainty Discount</w:t>
            </w:r>
          </w:p>
        </w:tc>
        <w:tc>
          <w:tcPr>
            <w:tcW w:type="dxa" w:w="1930"/>
          </w:tcPr>
          <w:p>
            <w:pPr>
              <w:spacing w:after="0"/>
            </w:pPr>
            <w:r>
              <w:rPr>
                <w:sz w:val="18"/>
              </w:rPr>
              <w:t>− 1.072 t</w:t>
            </w:r>
          </w:p>
        </w:tc>
        <w:tc>
          <w:tcPr>
            <w:tcW w:type="dxa" w:w="1930"/>
          </w:tcPr>
          <w:p>
            <w:pPr>
              <w:spacing w:after="0"/>
            </w:pPr>
            <w:r>
              <w:rPr>
                <w:sz w:val="18"/>
              </w:rPr>
              <w:t>− 45 kg</w:t>
            </w:r>
          </w:p>
        </w:tc>
        <w:tc>
          <w:tcPr>
            <w:tcW w:type="dxa" w:w="1930"/>
          </w:tcPr>
          <w:p>
            <w:pPr>
              <w:spacing w:after="0"/>
            </w:pPr>
            <w:r>
              <w:rPr>
                <w:sz w:val="18"/>
              </w:rPr>
              <w:t>none (mean − standard error inside the carbon node)</w:t>
            </w:r>
          </w:p>
        </w:tc>
        <w:tc>
          <w:tcPr>
            <w:tcW w:type="dxa" w:w="1930"/>
          </w:tcPr>
          <w:p>
            <w:pPr>
              <w:spacing w:after="0"/>
            </w:pPr>
            <w:r>
              <w:rPr>
                <w:sz w:val="18"/>
              </w:rPr>
              <w:t>none</w:t>
            </w:r>
          </w:p>
        </w:tc>
      </w:tr>
      <w:tr>
        <w:tc>
          <w:tcPr>
            <w:tcW w:type="dxa" w:w="1930"/>
          </w:tcPr>
          <w:p>
            <w:pPr>
              <w:spacing w:after="0"/>
            </w:pPr>
            <w:r>
              <w:rPr>
                <w:sz w:val="18"/>
              </w:rPr>
              <w:t>Datapoints</w:t>
            </w:r>
          </w:p>
        </w:tc>
        <w:tc>
          <w:tcPr>
            <w:tcW w:type="dxa" w:w="1930"/>
          </w:tcPr>
          <w:p>
            <w:pPr>
              <w:spacing w:after="0"/>
            </w:pPr>
            <w:r>
              <w:rPr>
                <w:sz w:val="18"/>
              </w:rPr>
              <w:t>46</w:t>
            </w:r>
          </w:p>
        </w:tc>
        <w:tc>
          <w:tcPr>
            <w:tcW w:type="dxa" w:w="1930"/>
          </w:tcPr>
          <w:p>
            <w:pPr>
              <w:spacing w:after="0"/>
            </w:pPr>
            <w:r>
              <w:rPr>
                <w:sz w:val="18"/>
              </w:rPr>
              <w:t>45</w:t>
            </w:r>
          </w:p>
        </w:tc>
        <w:tc>
          <w:tcPr>
            <w:tcW w:type="dxa" w:w="1930"/>
          </w:tcPr>
          <w:p>
            <w:pPr>
              <w:spacing w:after="0"/>
            </w:pPr>
            <w:r>
              <w:rPr>
                <w:sz w:val="18"/>
              </w:rPr>
              <w:t>16</w:t>
            </w:r>
          </w:p>
        </w:tc>
        <w:tc>
          <w:tcPr>
            <w:tcW w:type="dxa" w:w="1930"/>
          </w:tcPr>
          <w:p>
            <w:pPr>
              <w:spacing w:after="0"/>
            </w:pPr>
            <w:r>
              <w:rPr>
                <w:sz w:val="18"/>
              </w:rPr>
              <w:t>12</w:t>
            </w:r>
          </w:p>
        </w:tc>
      </w:tr>
      <w:tr>
        <w:tc>
          <w:tcPr>
            <w:tcW w:type="dxa" w:w="1930"/>
          </w:tcPr>
          <w:p>
            <w:pPr>
              <w:spacing w:after="0"/>
            </w:pPr>
            <w:r>
              <w:rPr>
                <w:sz w:val="18"/>
              </w:rPr>
              <w:t>Collection-method mix</w:t>
            </w:r>
          </w:p>
        </w:tc>
        <w:tc>
          <w:tcPr>
            <w:tcW w:type="dxa" w:w="1930"/>
          </w:tcPr>
          <w:p>
            <w:pPr>
              <w:spacing w:after="0"/>
            </w:pPr>
            <w:r>
              <w:rPr>
                <w:sz w:val="18"/>
              </w:rPr>
              <w:t>"Reported" 27, "Derived" 19</w:t>
            </w:r>
          </w:p>
        </w:tc>
        <w:tc>
          <w:tcPr>
            <w:tcW w:type="dxa" w:w="1930"/>
          </w:tcPr>
          <w:p>
            <w:pPr>
              <w:spacing w:after="0"/>
            </w:pPr>
            <w:r>
              <w:rPr>
                <w:sz w:val="18"/>
              </w:rPr>
              <w:t>REPORTED 37, DERIVED 8</w:t>
            </w:r>
          </w:p>
        </w:tc>
        <w:tc>
          <w:tcPr>
            <w:tcW w:type="dxa" w:w="1930"/>
          </w:tcPr>
          <w:p>
            <w:pPr>
              <w:spacing w:after="0"/>
            </w:pPr>
            <w:r>
              <w:rPr>
                <w:sz w:val="18"/>
              </w:rPr>
              <w:t>REPORTED 7, STANDARD PUBLISHED VALUE 6, DERIVED 2, CONSTANT 1</w:t>
            </w:r>
          </w:p>
        </w:tc>
        <w:tc>
          <w:tcPr>
            <w:tcW w:type="dxa" w:w="1930"/>
          </w:tcPr>
          <w:p>
            <w:pPr>
              <w:spacing w:after="0"/>
            </w:pPr>
            <w:r>
              <w:rPr>
                <w:sz w:val="18"/>
              </w:rPr>
              <w:t>REPORTED 5, STANDARD PUBLISHED VALUE 3, CONSTANT 1, DERIVED 1, plus 2 measurement sets ("3 measurements", "318 measurements")</w:t>
            </w:r>
          </w:p>
        </w:tc>
      </w:tr>
      <w:tr>
        <w:tc>
          <w:tcPr>
            <w:tcW w:type="dxa" w:w="1930"/>
          </w:tcPr>
          <w:p>
            <w:pPr>
              <w:spacing w:after="0"/>
            </w:pPr>
            <w:r>
              <w:rPr>
                <w:sz w:val="18"/>
              </w:rPr>
              <w:t>Source files named</w:t>
            </w:r>
          </w:p>
        </w:tc>
        <w:tc>
          <w:tcPr>
            <w:tcW w:type="dxa" w:w="1930"/>
          </w:tcPr>
          <w:p>
            <w:pPr>
              <w:spacing w:after="0"/>
            </w:pPr>
            <w:r>
              <w:rPr>
                <w:sz w:val="18"/>
              </w:rPr>
              <w:t>28 distinct names visible; "at least 28 + 84 = 112 evidence files sit behind this one removal's 46 datapoints"</w:t>
            </w:r>
          </w:p>
        </w:tc>
        <w:tc>
          <w:tcPr>
            <w:tcW w:type="dxa" w:w="1930"/>
          </w:tcPr>
          <w:p>
            <w:pPr>
              <w:spacing w:after="0"/>
            </w:pPr>
            <w:r>
              <w:rPr>
                <w:sz w:val="18"/>
              </w:rPr>
              <w:t xml:space="preserve">seven batch-specific files plus standing references; 88 </w:t>
            </w:r>
            <w:r>
              <w:rPr>
                <w:rFonts w:ascii="Consolas" w:hAnsi="Consolas" w:eastAsia="Consolas"/>
                <w:sz w:val="18"/>
              </w:rPr>
              <w:t>src_</w:t>
            </w:r>
            <w:r>
              <w:rPr>
                <w:sz w:val="18"/>
              </w:rPr>
              <w:t xml:space="preserve"> rows for the whole 4-removal statement</w:t>
            </w:r>
          </w:p>
        </w:tc>
        <w:tc>
          <w:tcPr>
            <w:tcW w:type="dxa" w:w="1930"/>
          </w:tcPr>
          <w:p>
            <w:pPr>
              <w:spacing w:after="0"/>
            </w:pPr>
            <w:r>
              <w:rPr>
                <w:sz w:val="18"/>
              </w:rPr>
              <w:t>7 distinct titles; "7 rows carry no source"</w:t>
            </w:r>
          </w:p>
        </w:tc>
        <w:tc>
          <w:tcPr>
            <w:tcW w:type="dxa" w:w="1930"/>
          </w:tcPr>
          <w:p>
            <w:pPr>
              <w:spacing w:after="0"/>
            </w:pPr>
            <w:r>
              <w:rPr>
                <w:sz w:val="18"/>
              </w:rPr>
              <w:t>4 rows name a source; 6 rows show "—"</w:t>
            </w:r>
          </w:p>
        </w:tc>
      </w:tr>
      <w:tr>
        <w:tc>
          <w:tcPr>
            <w:tcW w:type="dxa" w:w="1930"/>
          </w:tcPr>
          <w:p>
            <w:pPr>
              <w:spacing w:after="0"/>
            </w:pPr>
            <w:r>
              <w:rPr>
                <w:sz w:val="18"/>
              </w:rPr>
              <w:t>Activities as share of gross (arithmetic)</w:t>
            </w:r>
          </w:p>
        </w:tc>
        <w:tc>
          <w:tcPr>
            <w:tcW w:type="dxa" w:w="1930"/>
          </w:tcPr>
          <w:p>
            <w:pPr>
              <w:spacing w:after="0"/>
            </w:pPr>
            <w:r>
              <w:rPr>
                <w:sz w:val="18"/>
              </w:rPr>
              <w:t>54.091 ÷ 193.725 = 27.9%</w:t>
            </w:r>
          </w:p>
        </w:tc>
        <w:tc>
          <w:tcPr>
            <w:tcW w:type="dxa" w:w="1930"/>
          </w:tcPr>
          <w:p>
            <w:pPr>
              <w:spacing w:after="0"/>
            </w:pPr>
            <w:r>
              <w:rPr>
                <w:sz w:val="18"/>
              </w:rPr>
              <w:t>1.709 ÷ 47.591 = 3.6%</w:t>
            </w:r>
          </w:p>
        </w:tc>
        <w:tc>
          <w:tcPr>
            <w:tcW w:type="dxa" w:w="1930"/>
          </w:tcPr>
          <w:p>
            <w:pPr>
              <w:spacing w:after="0"/>
            </w:pPr>
            <w:r>
              <w:rPr>
                <w:sz w:val="18"/>
              </w:rPr>
              <w:t>0.384 ÷ 6.621 = 5.8%</w:t>
            </w:r>
          </w:p>
        </w:tc>
        <w:tc>
          <w:tcPr>
            <w:tcW w:type="dxa" w:w="1930"/>
          </w:tcPr>
          <w:p>
            <w:pPr>
              <w:spacing w:after="0"/>
            </w:pPr>
            <w:r>
              <w:rPr>
                <w:sz w:val="18"/>
              </w:rPr>
              <w:t>0.148 ÷ 2.217 = 6.7%</w:t>
            </w:r>
          </w:p>
        </w:tc>
      </w:tr>
    </w:tbl>
    <w:p/>
    <w:p>
      <w:r>
        <w:rPr>
          <w:b/>
        </w:rPr>
        <w:t>NULIFE Ontario Avenue — simpler or more complex than Charm?</w:t>
      </w:r>
      <w:r>
        <w:t xml:space="preserve"> Simpler in the tree (four top nodes, no BCU branch, activities not even itemised on the page) and in emissions load (3.6% of gross versus Charm's 27.9%), but not simpler in datapoints: 45 versus Charm's 46, because NULIFE carries 22 embodied and end-of-life rows ("14 REPORTED + 8 DERIVED") that Charm folds into two inventory workbooks. </w:t>
      </w:r>
      <w:r>
        <w:rPr>
          <w:b/>
        </w:rPr>
        <w:t>Integrity:</w:t>
      </w:r>
      <w:r>
        <w:t xml:space="preserve"> lower than Charm on several points NULIFE's own text states — carbon lab "deemed an in-house lab that is not ISO17025 accredited lab*" (p20); injection electricity "lack of primary measured data from the injection site" (p48); a missing-data run filled by "the conservative value of 70% carbon is assumed" (p48); fixed gas monitor "still investigating" (p32); external well integrity "There is no way of knowing the outside integrity" (p33). Higher than Charm on sampling coverage: "three (3) unique samples of bio-oil", "Each sample is tested in duplicates" (p48), and mass deliberately taken net of moisture so that the sink mass (17.607 t) sits below the scale mass (18.360 t). </w:t>
      </w:r>
      <w:r>
        <w:rPr>
          <w:b/>
        </w:rPr>
        <w:t>Streamlining:</w:t>
      </w:r>
      <w:r>
        <w:t xml:space="preserve"> more streamlined — one plant, one truck leg, no consumables, no mass adjustments ("None of the following appear in the PDD text read: consumables subtraction, tote or container standard loss, salt residue credit, filtration loss, upstream loss allocation"), 14 sources excluded under the 1% rule, and a verification report whose issue log is "all 'N/A'".</w:t>
      </w:r>
    </w:p>
    <w:p>
      <w:r>
        <w:rPr>
          <w:b/>
        </w:rPr>
        <w:t>Vaulted Great Plains — simpler or more complex than Charm?</w:t>
      </w:r>
      <w:r>
        <w:t xml:space="preserve"> Much simpler in the tree: 16 datapoints against 46 (46 ÷ 16 = 2.9×), 6 activity lines against 21, one grid factor, no adjustments, no separate uncertainty node. </w:t>
      </w:r>
      <w:r>
        <w:rPr>
          <w:b/>
        </w:rPr>
        <w:t>Integrity:</w:t>
      </w:r>
      <w:r>
        <w:t xml:space="preserve"> lower than Charm on measurement coverage — "Carbon content measurement of every delivery batch is cost prohibitive" (VR p.13), fuel by "gas mileage and distance… instead of the actual gallons/liters" (App 13 p.76), embodied by "Estimated by the site manager" (PDD p.15) — and lower on storage compliance at the shared site: "Vaulted is not investigating every gas detection alarm activation. LEL alarms at the site have been increasing in frequency" (VR p.18), three Forward Action Requests "Open" (VR p.17), and a verifier risk score of 2 against the PDD's 0. Higher than Charm on statistical conservatism in the one place it matters: the sink uses "WINSORIZED MEAN… − WINSORIZED STANDARD ERROR" across 18 measurements, a documented outlier rule, and Isometric-triggered random sampling ("Isometric may request this random sampling approximately 1 day every 3 weeks"). </w:t>
      </w:r>
      <w:r>
        <w:rPr>
          <w:b/>
        </w:rPr>
        <w:t>Streamlining:</w:t>
      </w:r>
      <w:r>
        <w:t xml:space="preserve"> the most streamlined filing of the four — a 3-page monthly report whose calculation answer is "No changes have been made since the last submission period" — but the heaviest logistics per credit: "23.532 ÷ 5.908 = 3.98 t of waste hauled and weighed per net tCO₂e" and 252 issuance events since 2023.</w:t>
      </w:r>
    </w:p>
    <w:p>
      <w:r>
        <w:rPr>
          <w:b/>
        </w:rPr>
        <w:t>Vaulted TIRE — simpler or more complex than Charm?</w:t>
      </w:r>
      <w:r>
        <w:t xml:space="preserve"> Simpler in the tree (12 datapoints, two top branches, 4 source files) but more complex in the crediting rule: a five-year weekly baseline plus a "cushion", re-evaluated "monthly or quarterly for the first year", with only the increment credited — "8,933.361 ÷ 21,927.76 = 40.7 %" of injected mass creditable in RP2 — and an RP1 error it had to correct ("the previous audit period had a falsely low cushion"). </w:t>
      </w:r>
      <w:r>
        <w:rPr>
          <w:b/>
        </w:rPr>
        <w:t>Integrity:</w:t>
      </w:r>
      <w:r>
        <w:t xml:space="preserve"> lower than Charm in the text's own words — mass from a supplier scale whose calibration is "not confirmed in this case" (p.24); steel embodied "High uncertainty, based on expert judgment" (p.25); a "6%" carbon placeholder "used for this process until real data is obtained" written into the validated PDD (p.26); counterfactual stated three ways ("two-pool", "three-pool… discounts 1%", "Counterfactual (2.92%)") and never reconciled; "NOTE to Isometric: Lab reports are forthcoming." left in the PDD (p.59). Higher than Charm on subsurface monitoring cadence: quarterly fall-off tests, quarterly reservoir/fracture model updates, quarterly microseismic, InSAR/GPS subsidence (E.1 pp.55–57) versus Basco 6's "every 6 mos" gas checks and annual MIT/falloff/tracer. </w:t>
      </w:r>
      <w:r>
        <w:rPr>
          <w:b/>
        </w:rPr>
        <w:t>Streamlining:</w:t>
      </w:r>
      <w:r>
        <w:t xml:space="preserve"> a 4-page second report and "0 tons of CO2 emissions from embedded carbon" after passing embodied emissions once; embodied, uncertainty and adjustment machinery all absent from the tree.</w:t>
      </w:r>
    </w:p>
    <w:p>
      <w:pPr>
        <w:pStyle w:val="Heading2"/>
      </w:pPr>
      <w:r>
        <w:t>6. Opportunity register</w:t>
      </w:r>
    </w:p>
    <w:p>
      <w:r>
        <w:t xml:space="preserve">Column key. </w:t>
      </w:r>
      <w:r>
        <w:rPr>
          <w:b/>
        </w:rPr>
        <w:t>Protocol requires Charm's heavier practice?</w:t>
      </w:r>
      <w:r>
        <w:t xml:space="preserve"> is answered only from protocol text read this session (Bio-oil Geological Storage v1.0 web page, and v1.2 web page) or protocol text quoted inside the input files; "Not determinable" means neither source settles it. </w:t>
      </w:r>
      <w:r>
        <w:rPr>
          <w:b/>
        </w:rPr>
        <w:t>Integrity effect</w:t>
      </w:r>
      <w:r>
        <w:t xml:space="preserve"> is what adopting the peer method would do to Charm's claim quality. </w:t>
      </w:r>
      <w:r>
        <w:rPr>
          <w:b/>
        </w:rPr>
        <w:t>Verifier acceptance</w:t>
      </w:r>
      <w:r>
        <w:t xml:space="preserve"> is quoted from the peer's verification report as carried in the input files. </w:t>
      </w:r>
      <w:r>
        <w:rPr>
          <w:b/>
        </w:rPr>
        <w:t>Applicability</w:t>
      </w:r>
      <w:r>
        <w:t>: direct / needs protocol reading / needs Isometric approval / not applicable.</w:t>
      </w:r>
    </w:p>
    <w:p>
      <w:pPr>
        <w:sectPr>
          <w:pgSz w:w="12240" w:h="15840"/>
          <w:pgMar w:top="1296" w:right="1296" w:bottom="1296" w:left="1296" w:header="720" w:footer="720" w:gutter="0"/>
          <w:cols w:space="720"/>
          <w:docGrid w:linePitch="360"/>
        </w:sectPr>
      </w:pPr>
    </w:p>
    <w:tbl>
      <w:tblPr>
        <w:tblStyle w:val="TableGrid"/>
        <w:tblW w:type="auto" w:w="0"/>
        <w:tblLook w:firstColumn="1" w:firstRow="1" w:lastColumn="0" w:lastRow="0" w:noHBand="0" w:noVBand="1" w:val="04A0"/>
      </w:tblPr>
      <w:tblGrid>
        <w:gridCol w:w="1656"/>
        <w:gridCol w:w="1656"/>
        <w:gridCol w:w="1656"/>
        <w:gridCol w:w="1656"/>
        <w:gridCol w:w="1656"/>
        <w:gridCol w:w="1656"/>
        <w:gridCol w:w="1656"/>
        <w:gridCol w:w="1656"/>
      </w:tblGrid>
      <w:tr>
        <w:tc>
          <w:tcPr>
            <w:tcW w:type="dxa" w:w="1656"/>
            <w:shd w:val="clear" w:color="auto" w:fill="D6E4F0"/>
          </w:tcPr>
          <w:p>
            <w:pPr>
              <w:spacing w:after="0"/>
            </w:pPr>
            <w:r>
              <w:rPr>
                <w:b/>
                <w:sz w:val="18"/>
              </w:rPr>
              <w:t>#</w:t>
            </w:r>
          </w:p>
        </w:tc>
        <w:tc>
          <w:tcPr>
            <w:tcW w:type="dxa" w:w="1656"/>
            <w:shd w:val="clear" w:color="auto" w:fill="D6E4F0"/>
          </w:tcPr>
          <w:p>
            <w:pPr>
              <w:spacing w:after="0"/>
            </w:pPr>
            <w:r>
              <w:rPr>
                <w:b/>
                <w:sz w:val="18"/>
              </w:rPr>
              <w:t>Method</w:t>
            </w:r>
          </w:p>
        </w:tc>
        <w:tc>
          <w:tcPr>
            <w:tcW w:type="dxa" w:w="1656"/>
            <w:shd w:val="clear" w:color="auto" w:fill="D6E4F0"/>
          </w:tcPr>
          <w:p>
            <w:pPr>
              <w:spacing w:after="0"/>
            </w:pPr>
            <w:r>
              <w:rPr>
                <w:b/>
                <w:sz w:val="18"/>
              </w:rPr>
              <w:t>Peer(s) using it, with quote</w:t>
            </w:r>
          </w:p>
        </w:tc>
        <w:tc>
          <w:tcPr>
            <w:tcW w:type="dxa" w:w="1656"/>
            <w:shd w:val="clear" w:color="auto" w:fill="D6E4F0"/>
          </w:tcPr>
          <w:p>
            <w:pPr>
              <w:spacing w:after="0"/>
            </w:pPr>
            <w:r>
              <w:rPr>
                <w:b/>
                <w:sz w:val="18"/>
              </w:rPr>
              <w:t>Charm's current practice, with quote</w:t>
            </w:r>
          </w:p>
        </w:tc>
        <w:tc>
          <w:tcPr>
            <w:tcW w:type="dxa" w:w="1656"/>
            <w:shd w:val="clear" w:color="auto" w:fill="D6E4F0"/>
          </w:tcPr>
          <w:p>
            <w:pPr>
              <w:spacing w:after="0"/>
            </w:pPr>
            <w:r>
              <w:rPr>
                <w:b/>
                <w:sz w:val="18"/>
              </w:rPr>
              <w:t>Does quoted protocol text require Charm's heavier practice?</w:t>
            </w:r>
          </w:p>
        </w:tc>
        <w:tc>
          <w:tcPr>
            <w:tcW w:type="dxa" w:w="1656"/>
            <w:shd w:val="clear" w:color="auto" w:fill="D6E4F0"/>
          </w:tcPr>
          <w:p>
            <w:pPr>
              <w:spacing w:after="0"/>
            </w:pPr>
            <w:r>
              <w:rPr>
                <w:b/>
                <w:sz w:val="18"/>
              </w:rPr>
              <w:t>Integrity effect</w:t>
            </w:r>
          </w:p>
        </w:tc>
        <w:tc>
          <w:tcPr>
            <w:tcW w:type="dxa" w:w="1656"/>
            <w:shd w:val="clear" w:color="auto" w:fill="D6E4F0"/>
          </w:tcPr>
          <w:p>
            <w:pPr>
              <w:spacing w:after="0"/>
            </w:pPr>
            <w:r>
              <w:rPr>
                <w:b/>
                <w:sz w:val="18"/>
              </w:rPr>
              <w:t>Verifier acceptance evidence</w:t>
            </w:r>
          </w:p>
        </w:tc>
        <w:tc>
          <w:tcPr>
            <w:tcW w:type="dxa" w:w="1656"/>
            <w:shd w:val="clear" w:color="auto" w:fill="D6E4F0"/>
          </w:tcPr>
          <w:p>
            <w:pPr>
              <w:spacing w:after="0"/>
            </w:pPr>
            <w:r>
              <w:rPr>
                <w:b/>
                <w:sz w:val="18"/>
              </w:rPr>
              <w:t>Applicability to Charm</w:t>
            </w:r>
          </w:p>
        </w:tc>
      </w:tr>
      <w:tr>
        <w:tc>
          <w:tcPr>
            <w:tcW w:type="dxa" w:w="1656"/>
          </w:tcPr>
          <w:p>
            <w:pPr>
              <w:spacing w:after="0"/>
            </w:pPr>
            <w:r>
              <w:rPr>
                <w:sz w:val="18"/>
              </w:rPr>
              <w:t>1</w:t>
            </w:r>
          </w:p>
        </w:tc>
        <w:tc>
          <w:tcPr>
            <w:tcW w:type="dxa" w:w="1656"/>
          </w:tcPr>
          <w:p>
            <w:pPr>
              <w:spacing w:after="0"/>
            </w:pPr>
            <w:r>
              <w:rPr>
                <w:b/>
                <w:sz w:val="18"/>
              </w:rPr>
              <w:t>Method B — sample one Production Batch in ten, estimate the rest conservatively</w:t>
            </w:r>
          </w:p>
        </w:tc>
        <w:tc>
          <w:tcPr>
            <w:tcW w:type="dxa" w:w="1656"/>
          </w:tcPr>
          <w:p>
            <w:pPr>
              <w:spacing w:after="0"/>
            </w:pPr>
            <w:r>
              <w:rPr>
                <w:sz w:val="18"/>
              </w:rPr>
              <w:t>Great Plains: "Vaulted has chosen Method B (Sampling a Production Process) to measure carbon content… after an initial period of conducting triplicate measurements for the first 25 batches Vaulted has then proceeded to conduct a triplicate measurement on every 10th batch." (PDD p.10). TIRE: "the first 10 trucks of the feedstock will be tested to establish a baseline of carbon content, and every 10th truck is tested to represent the untested trucks." (p.11)</w:t>
            </w:r>
          </w:p>
        </w:tc>
        <w:tc>
          <w:tcPr>
            <w:tcW w:type="dxa" w:w="1656"/>
          </w:tcPr>
          <w:p>
            <w:pPr>
              <w:spacing w:after="0"/>
            </w:pPr>
            <w:r>
              <w:rPr>
                <w:sz w:val="18"/>
              </w:rPr>
              <w:t>"Per section 7.4.1.1.1 of the Bio-Oil Geological Storage protocol, a sample is taken for each injection batch and analyzed for C content to quantify the gross removal"; "Carbon content of the oil will be measured using Isometric Protocol Method A"</w:t>
            </w:r>
          </w:p>
        </w:tc>
        <w:tc>
          <w:tcPr>
            <w:tcW w:type="dxa" w:w="1656"/>
          </w:tcPr>
          <w:p>
            <w:pPr>
              <w:spacing w:after="0"/>
            </w:pPr>
            <w:r>
              <w:rPr>
                <w:b/>
                <w:sz w:val="18"/>
              </w:rPr>
              <w:t>No — the bio-oil protocol itself offers Method B.</w:t>
            </w:r>
            <w:r>
              <w:rPr>
                <w:sz w:val="18"/>
              </w:rPr>
              <w:t xml:space="preserve"> v1.0 §7.4.1.1.1: "This Protocol provides two alternative methods for how often C content must be measured and quantified. The first method (A) involves measuring every batch, the second method (B) involves only sampling some batches, and conservatively estimating the C content of unsampled batches." Conditions: "samples must be taken directly for at least 30 Production Batches… Until this threshold is reached, Method A must be used. Subsequently, samples must be taken at least every 10 Production Batches."; "Eligible samples are those taken in the previous 6 months"; "A random sampling approach must be agreed and documented in the Project Design Document, whereby Isometric will contact the Project Proponent on randomly selected days, at an agreed cadence, which must be no less frequent than once per month, on average." Identical text in v1.2 §8.3.1.1.</w:t>
            </w:r>
          </w:p>
        </w:tc>
        <w:tc>
          <w:tcPr>
            <w:tcW w:type="dxa" w:w="1656"/>
          </w:tcPr>
          <w:p>
            <w:pPr>
              <w:spacing w:after="0"/>
            </w:pPr>
            <w:r>
              <w:rPr>
                <w:sz w:val="18"/>
              </w:rPr>
              <w:t>Neutral to slightly conservative on the number (mean minus standard error, Equation 5), lower on per-batch coverage</w:t>
            </w:r>
          </w:p>
        </w:tc>
        <w:tc>
          <w:tcPr>
            <w:tcW w:type="dxa" w:w="1656"/>
          </w:tcPr>
          <w:p>
            <w:pPr>
              <w:spacing w:after="0"/>
            </w:pPr>
            <w:r>
              <w:rPr>
                <w:sz w:val="18"/>
              </w:rPr>
              <w:t>Great Plains VR p.15: "Sampling Frequency — Acceptable – Samples taken every 10th batch."; VR p.13: "Carbon content measurement of every delivery batch is cost prohibitive; therefore, a conservative determination of content is made following instructions in the Biomass Geological Storage Protocol." TIRE vvr1 p.21: "Yes, we collected 30 method A and then moved to method B."</w:t>
            </w:r>
          </w:p>
        </w:tc>
        <w:tc>
          <w:tcPr>
            <w:tcW w:type="dxa" w:w="1656"/>
          </w:tcPr>
          <w:p>
            <w:pPr>
              <w:spacing w:after="0"/>
            </w:pPr>
            <w:r>
              <w:rPr>
                <w:b/>
                <w:sz w:val="18"/>
              </w:rPr>
              <w:t>Needs Isometric approval</w:t>
            </w:r>
            <w:r>
              <w:rPr>
                <w:sz w:val="18"/>
              </w:rPr>
              <w:t xml:space="preserve"> (the random-sampling approach must be written into the PDD and agreed), and a PDD change. Best fit is AECN oil (one Production Process, one feedstock); how a blended Injection Batch of unsampled Production Batches is scored, and what counts as a "Production Batch" for Charm oil, are open (§7).</w:t>
            </w:r>
          </w:p>
        </w:tc>
      </w:tr>
      <w:tr>
        <w:tc>
          <w:tcPr>
            <w:tcW w:type="dxa" w:w="1656"/>
          </w:tcPr>
          <w:p>
            <w:pPr>
              <w:spacing w:after="0"/>
            </w:pPr>
            <w:r>
              <w:rPr>
                <w:sz w:val="18"/>
              </w:rPr>
              <w:t>2</w:t>
            </w:r>
          </w:p>
        </w:tc>
        <w:tc>
          <w:tcPr>
            <w:tcW w:type="dxa" w:w="1656"/>
          </w:tcPr>
          <w:p>
            <w:pPr>
              <w:spacing w:after="0"/>
            </w:pPr>
            <w:r>
              <w:rPr>
                <w:b/>
                <w:sz w:val="18"/>
              </w:rPr>
              <w:t>Materiality exclusion of sources that together stay under 1%</w:t>
            </w:r>
          </w:p>
        </w:tc>
        <w:tc>
          <w:tcPr>
            <w:tcW w:type="dxa" w:w="1656"/>
          </w:tcPr>
          <w:p>
            <w:pPr>
              <w:spacing w:after="0"/>
            </w:pPr>
            <w:r>
              <w:rPr>
                <w:sz w:val="18"/>
              </w:rPr>
              <w:t>NULIFE: "Sum of SSRs excluded (must be &lt; 1%) | 0.208 | 0.787965616 | still below the 1% threshold" (p49); eight boundary lines carry "They are excluded for regular Removal quantification, as per the materiality assessment."; rule quoted: "If materiality of the SSR is &lt; 1%, then the emissions associated with the SSR may be excluded from the GHG Statement boundary, provided that the total exclusions make up &lt; 1% collectively."</w:t>
            </w:r>
          </w:p>
        </w:tc>
        <w:tc>
          <w:tcPr>
            <w:tcW w:type="dxa" w:w="1656"/>
          </w:tcPr>
          <w:p>
            <w:pPr>
              <w:spacing w:after="0"/>
            </w:pPr>
            <w:r>
              <w:rPr>
                <w:sz w:val="18"/>
              </w:rPr>
              <w:t>Charm quantifies consumables embodied ("the volume is measured by on-site staff using a flow-meter"), consumables transport, sample shipping ("Emissions are calculated for air shipment of samples"), waste disposal transport and landfilling, and treats only the thermal oxidizer as "De minimis". Registry tree carries lines as small as "Waste Disposal: Transport Embodied 8 kgCO₂e"</w:t>
            </w:r>
          </w:p>
        </w:tc>
        <w:tc>
          <w:tcPr>
            <w:tcW w:type="dxa" w:w="1656"/>
          </w:tcPr>
          <w:p>
            <w:pPr>
              <w:spacing w:after="0"/>
            </w:pPr>
            <w:r>
              <w:rPr>
                <w:b/>
                <w:sz w:val="18"/>
              </w:rPr>
              <w:t>Not determinable from the protocol pages read.</w:t>
            </w:r>
            <w:r>
              <w:rPr>
                <w:sz w:val="18"/>
              </w:rPr>
              <w:t xml:space="preserve"> v1.2 §7.1 says the boundary "must include all relevant GHG SSRs… If any GHG SSRs within Table X are deemed not appropriate to include in the system boundary, they may be excluded provided that robust justification and appropriate evidence is provided in the PDD." and §8.5.5 hands accounting to "the GHG Accounting Module v1.1", which was not read. NULIFE's quoted rule comes from "Isometric GHG Accounting (V1) Materiality Assessment (Section 4)".</w:t>
            </w:r>
          </w:p>
        </w:tc>
        <w:tc>
          <w:tcPr>
            <w:tcW w:type="dxa" w:w="1656"/>
          </w:tcPr>
          <w:p>
            <w:pPr>
              <w:spacing w:after="0"/>
            </w:pPr>
            <w:r>
              <w:rPr>
                <w:sz w:val="18"/>
              </w:rPr>
              <w:t>Neutral (by construction the excluded total is under 1% of the removal)</w:t>
            </w:r>
          </w:p>
        </w:tc>
        <w:tc>
          <w:tcPr>
            <w:tcW w:type="dxa" w:w="1656"/>
          </w:tcPr>
          <w:p>
            <w:pPr>
              <w:spacing w:after="0"/>
            </w:pPr>
            <w:r>
              <w:rPr>
                <w:sz w:val="18"/>
              </w:rPr>
              <w:t>NULIFE Verification Report p20 "No significant findings"; Appendix II Log of Issues "all 'N/A'"</w:t>
            </w:r>
          </w:p>
        </w:tc>
        <w:tc>
          <w:tcPr>
            <w:tcW w:type="dxa" w:w="1656"/>
          </w:tcPr>
          <w:p>
            <w:pPr>
              <w:spacing w:after="0"/>
            </w:pPr>
            <w:r>
              <w:rPr>
                <w:b/>
                <w:sz w:val="18"/>
              </w:rPr>
              <w:t>Needs protocol reading</w:t>
            </w:r>
            <w:r>
              <w:rPr>
                <w:sz w:val="18"/>
              </w:rPr>
              <w:t xml:space="preserve"> (GHG Accounting Module §4 and the materiality table format NULIFE used), then a PDD change. Candidate lines from Charm's own tree: the two waste-disposal transport lines (8 + 88 kg), sample shipping, consumables transport.</w:t>
            </w:r>
          </w:p>
        </w:tc>
      </w:tr>
      <w:tr>
        <w:tc>
          <w:tcPr>
            <w:tcW w:type="dxa" w:w="1656"/>
          </w:tcPr>
          <w:p>
            <w:pPr>
              <w:spacing w:after="0"/>
            </w:pPr>
            <w:r>
              <w:rPr>
                <w:sz w:val="18"/>
              </w:rPr>
              <w:t>3</w:t>
            </w:r>
          </w:p>
        </w:tc>
        <w:tc>
          <w:tcPr>
            <w:tcW w:type="dxa" w:w="1656"/>
          </w:tcPr>
          <w:p>
            <w:pPr>
              <w:spacing w:after="0"/>
            </w:pPr>
            <w:r>
              <w:rPr>
                <w:b/>
                <w:sz w:val="18"/>
              </w:rPr>
              <w:t>Single-parameter or zero uncertainty treatment</w:t>
            </w:r>
          </w:p>
        </w:tc>
        <w:tc>
          <w:tcPr>
            <w:tcW w:type="dxa" w:w="1656"/>
          </w:tcPr>
          <w:p>
            <w:pPr>
              <w:spacing w:after="0"/>
            </w:pPr>
            <w:r>
              <w:rPr>
                <w:sz w:val="18"/>
              </w:rPr>
              <w:t>Great Plains: "only the biomass carbon content was found to have some uncertainty… The rest of the parameters have very little uncertainty because they are based on measured, primary data." (App 13 p.76–77); scale "0.23%… Because the uncertainty is well-below the 1% significance threshold, it has not been accounted for." TIRE: "Uncertainty Discount | 0.00 | Project sensitivity analysis determined that uncertainty in the assessed input parameters did not result in a material change to net removals; therefore no separate uncertainty deduction was applied." (ver2 p.11). NULIFE: "Mass of Product: The datapoint is accurate primary data and does not require an uncertainty discount." (p48)</w:t>
            </w:r>
          </w:p>
        </w:tc>
        <w:tc>
          <w:tcPr>
            <w:tcW w:type="dxa" w:w="1656"/>
          </w:tcPr>
          <w:p>
            <w:pPr>
              <w:spacing w:after="0"/>
            </w:pPr>
            <w:r>
              <w:rPr>
                <w:sz w:val="18"/>
              </w:rPr>
              <w:t>"Fourteen separately justified measurement half-widths, each propagated"; "These uncertainties are propagated to the calculation of the gross quantity of CO2e sequestered for each injection batch."; registry "Uncertainty Discount 1.072 t"; GHG Statement "Uncertainty Discounts 5,468.00" kg for July</w:t>
            </w:r>
          </w:p>
        </w:tc>
        <w:tc>
          <w:tcPr>
            <w:tcW w:type="dxa" w:w="1656"/>
          </w:tcPr>
          <w:p>
            <w:pPr>
              <w:spacing w:after="0"/>
            </w:pPr>
            <w:r>
              <w:rPr>
                <w:b/>
                <w:sz w:val="18"/>
              </w:rPr>
              <w:t>No.</w:t>
            </w:r>
            <w:r>
              <w:rPr>
                <w:sz w:val="18"/>
              </w:rPr>
              <w:t xml:space="preserve"> v1.2 §6.5.1: "Input variables may be omitted from an uncertainty analysis if they contribute to a &lt; 1% change in the net CO2e removal. For all other parameters, information about uncertainty must be specified." Charm's own PDD applies the same screen ("Any parameter that, when increased by 20%, contributed to a change in the estimated removal that was greater than 1%… was then subject to an Uncertainty Analysis") but, per </w:t>
            </w:r>
            <w:r>
              <w:rPr>
                <w:rFonts w:ascii="Consolas" w:hAnsi="Consolas" w:eastAsia="Consolas"/>
                <w:sz w:val="18"/>
              </w:rPr>
              <w:t>04_peer_vaulted_great_plains.md</w:t>
            </w:r>
            <w:r>
              <w:rPr>
                <w:sz w:val="18"/>
              </w:rPr>
              <w:t xml:space="preserve"> §8.2, "Charm's PDD does not state that its 160 lb scale half-width exceeded the 1% screen; it propagates it anyway."</w:t>
            </w:r>
          </w:p>
        </w:tc>
        <w:tc>
          <w:tcPr>
            <w:tcW w:type="dxa" w:w="1656"/>
          </w:tcPr>
          <w:p>
            <w:pPr>
              <w:spacing w:after="0"/>
            </w:pPr>
            <w:r>
              <w:rPr>
                <w:sz w:val="18"/>
              </w:rPr>
              <w:t>Neutral in protocol terms; raises Charm's net by the discount Charm currently takes on sub-1% parameters</w:t>
            </w:r>
          </w:p>
        </w:tc>
        <w:tc>
          <w:tcPr>
            <w:tcW w:type="dxa" w:w="1656"/>
          </w:tcPr>
          <w:p>
            <w:pPr>
              <w:spacing w:after="0"/>
            </w:pPr>
            <w:r>
              <w:rPr>
                <w:sz w:val="18"/>
              </w:rPr>
              <w:t>Great Plains VR p.13: "Carbon content was identified as the only parameter contributing to a &gt;1% change in Removal."; TIRE ver2 p.11 as quoted</w:t>
            </w:r>
          </w:p>
        </w:tc>
        <w:tc>
          <w:tcPr>
            <w:tcW w:type="dxa" w:w="1656"/>
          </w:tcPr>
          <w:p>
            <w:pPr>
              <w:spacing w:after="0"/>
            </w:pPr>
            <w:r>
              <w:rPr>
                <w:b/>
                <w:sz w:val="18"/>
              </w:rPr>
              <w:t>Direct</w:t>
            </w:r>
            <w:r>
              <w:rPr>
                <w:sz w:val="18"/>
              </w:rPr>
              <w:t xml:space="preserve"> for parameters that fail the 1% screen under Charm's existing sensitivity analysis; a PDD text change in Section B uncertainty. Which of the 14 pass or fail the screen is not stated in the baseline — that is a Charm-internal check, not a protocol question.</w:t>
            </w:r>
          </w:p>
        </w:tc>
      </w:tr>
      <w:tr>
        <w:tc>
          <w:tcPr>
            <w:tcW w:type="dxa" w:w="1656"/>
          </w:tcPr>
          <w:p>
            <w:pPr>
              <w:spacing w:after="0"/>
            </w:pPr>
            <w:r>
              <w:rPr>
                <w:sz w:val="18"/>
              </w:rPr>
              <w:t>4</w:t>
            </w:r>
          </w:p>
        </w:tc>
        <w:tc>
          <w:tcPr>
            <w:tcW w:type="dxa" w:w="1656"/>
          </w:tcPr>
          <w:p>
            <w:pPr>
              <w:spacing w:after="0"/>
            </w:pPr>
            <w:r>
              <w:rPr>
                <w:b/>
                <w:sz w:val="18"/>
              </w:rPr>
              <w:t>Pointer-style GHG Statement Report for repeat periods</w:t>
            </w:r>
          </w:p>
        </w:tc>
        <w:tc>
          <w:tcPr>
            <w:tcW w:type="dxa" w:w="1656"/>
          </w:tcPr>
          <w:p>
            <w:pPr>
              <w:spacing w:after="0"/>
            </w:pPr>
            <w:r>
              <w:rPr>
                <w:sz w:val="18"/>
              </w:rPr>
              <w:t>Great Plains: "No changes have been made since the last submission period" (p.3), 960 words total. TIRE RP2: "No changes have been made since the last submission period" (ghg2 p.2). NULIFE: "See Isometric Certify for a breakdown of the results." (p10)</w:t>
            </w:r>
          </w:p>
        </w:tc>
        <w:tc>
          <w:tcPr>
            <w:tcW w:type="dxa" w:w="1656"/>
          </w:tcPr>
          <w:p>
            <w:pPr>
              <w:spacing w:after="0"/>
            </w:pPr>
            <w:r>
              <w:rPr>
                <w:sz w:val="18"/>
              </w:rPr>
              <w:t>Already largely done: 7 pages, "Charm's answers in D.1 and D.2 are each the single line 'Please see corresponding PDD Appendix'". Remaining bulk is Section C (565 words) describing period changes</w:t>
            </w:r>
          </w:p>
        </w:tc>
        <w:tc>
          <w:tcPr>
            <w:tcW w:type="dxa" w:w="1656"/>
          </w:tcPr>
          <w:p>
            <w:pPr>
              <w:spacing w:after="0"/>
            </w:pPr>
            <w:r>
              <w:rPr>
                <w:b/>
                <w:sz w:val="18"/>
              </w:rPr>
              <w:t>No.</w:t>
            </w:r>
            <w:r>
              <w:rPr>
                <w:sz w:val="18"/>
              </w:rPr>
              <w:t xml:space="preserve"> Template text present in the peers' reports: "After this document has been completed for the first time, it may be acceptable to refer back to relevant sections for subsequent Reporting Periods, for example if there have been no changes to the GHG Assessment scope, data collection methodology, calculation methodology or assumptions."</w:t>
            </w:r>
          </w:p>
        </w:tc>
        <w:tc>
          <w:tcPr>
            <w:tcW w:type="dxa" w:w="1656"/>
          </w:tcPr>
          <w:p>
            <w:pPr>
              <w:spacing w:after="0"/>
            </w:pPr>
            <w:r>
              <w:rPr>
                <w:sz w:val="18"/>
              </w:rPr>
              <w:t>Neutral</w:t>
            </w:r>
          </w:p>
        </w:tc>
        <w:tc>
          <w:tcPr>
            <w:tcW w:type="dxa" w:w="1656"/>
          </w:tcPr>
          <w:p>
            <w:pPr>
              <w:spacing w:after="0"/>
            </w:pPr>
            <w:r>
              <w:rPr>
                <w:sz w:val="18"/>
              </w:rPr>
              <w:t>Great Plains VR p.14 "Acceptable – PPD completed / updated appropriately and submitted."; TIRE and NULIFE reports verified with no findings on report form</w:t>
            </w:r>
          </w:p>
        </w:tc>
        <w:tc>
          <w:tcPr>
            <w:tcW w:type="dxa" w:w="1656"/>
          </w:tcPr>
          <w:p>
            <w:pPr>
              <w:spacing w:after="0"/>
            </w:pPr>
            <w:r>
              <w:rPr>
                <w:b/>
                <w:sz w:val="18"/>
              </w:rPr>
              <w:t>Direct, already in place.</w:t>
            </w:r>
            <w:r>
              <w:rPr>
                <w:sz w:val="18"/>
              </w:rPr>
              <w:t xml:space="preserve"> The real overhead is Appendix 6 in the PDD (row 5), not the monthly report.</w:t>
            </w:r>
          </w:p>
        </w:tc>
      </w:tr>
      <w:tr>
        <w:tc>
          <w:tcPr>
            <w:tcW w:type="dxa" w:w="1656"/>
          </w:tcPr>
          <w:p>
            <w:pPr>
              <w:spacing w:after="0"/>
            </w:pPr>
            <w:r>
              <w:rPr>
                <w:sz w:val="18"/>
              </w:rPr>
              <w:t>5</w:t>
            </w:r>
          </w:p>
        </w:tc>
        <w:tc>
          <w:tcPr>
            <w:tcW w:type="dxa" w:w="1656"/>
          </w:tcPr>
          <w:p>
            <w:pPr>
              <w:spacing w:after="0"/>
            </w:pPr>
            <w:r>
              <w:rPr>
                <w:b/>
                <w:sz w:val="18"/>
              </w:rPr>
              <w:t>Monitoring plan and calculation workbook filed outside the PDD</w:t>
            </w:r>
          </w:p>
        </w:tc>
        <w:tc>
          <w:tcPr>
            <w:tcW w:type="dxa" w:w="1656"/>
          </w:tcPr>
          <w:p>
            <w:pPr>
              <w:spacing w:after="0"/>
            </w:pPr>
            <w:r>
              <w:rPr>
                <w:sz w:val="18"/>
              </w:rPr>
              <w:t>Great Plains: "Yes — Vaulted has submitted a completed monitoring plan alongside this PDD" (p.11); "The specific sampling cadence can be viewed in the 'Vaulted Deep GHG Statement_12.20.23' spreadsheet." (p.10); "Full sensitivity analysis and calculations can be found in the Vaulted GHG Statement_12.20.23." (p.15). TIRE's monitoring plan is a permit table with an attached "Monitoring Requirements.xlsx"</w:t>
            </w:r>
          </w:p>
        </w:tc>
        <w:tc>
          <w:tcPr>
            <w:tcW w:type="dxa" w:w="1656"/>
          </w:tcPr>
          <w:p>
            <w:pPr>
              <w:spacing w:after="0"/>
            </w:pPr>
            <w:r>
              <w:rPr>
                <w:sz w:val="18"/>
              </w:rPr>
              <w:t>Monitoring Plan option "B – I have submitted a Monitoring Plan… which describes any additional or modified parameters monitored which deviate from the default Monitoring Plan" written into Section B (3,527 words); Appendix 6 "GHG Statement Methodology - Calculations" 9,287 words and "- Data" 5,856 words inside the PDD</w:t>
            </w:r>
          </w:p>
        </w:tc>
        <w:tc>
          <w:tcPr>
            <w:tcW w:type="dxa" w:w="1656"/>
          </w:tcPr>
          <w:p>
            <w:pPr>
              <w:spacing w:after="0"/>
            </w:pPr>
            <w:r>
              <w:rPr>
                <w:b/>
                <w:sz w:val="18"/>
              </w:rPr>
              <w:t>Not determinable.</w:t>
            </w:r>
            <w:r>
              <w:rPr>
                <w:sz w:val="18"/>
              </w:rPr>
              <w:t xml:space="preserve"> v1.2 §6.1 says only that the PDD "must include consideration of processes unique to bio-oil such as: location information…, conditions of biomass use prior to project initiation, details on technologies, products, and services relevant to biomass conversion processes, including production rates and volumes" and defers to "the relevant section of the Isometric Standard" (not read). v1.0 §11 "Appendix 1: Monitoring Plan Requirements" was not read in detail.</w:t>
            </w:r>
          </w:p>
        </w:tc>
        <w:tc>
          <w:tcPr>
            <w:tcW w:type="dxa" w:w="1656"/>
          </w:tcPr>
          <w:p>
            <w:pPr>
              <w:spacing w:after="0"/>
            </w:pPr>
            <w:r>
              <w:rPr>
                <w:sz w:val="18"/>
              </w:rPr>
              <w:t>Neutral (same content, different container)</w:t>
            </w:r>
          </w:p>
        </w:tc>
        <w:tc>
          <w:tcPr>
            <w:tcW w:type="dxa" w:w="1656"/>
          </w:tcPr>
          <w:p>
            <w:pPr>
              <w:spacing w:after="0"/>
            </w:pPr>
            <w:r>
              <w:rPr>
                <w:sz w:val="18"/>
              </w:rPr>
              <w:t>Great Plains VR p.14 as above</w:t>
            </w:r>
          </w:p>
        </w:tc>
        <w:tc>
          <w:tcPr>
            <w:tcW w:type="dxa" w:w="1656"/>
          </w:tcPr>
          <w:p>
            <w:pPr>
              <w:spacing w:after="0"/>
            </w:pPr>
            <w:r>
              <w:rPr>
                <w:b/>
                <w:sz w:val="18"/>
              </w:rPr>
              <w:t>Needs Isometric approval</w:t>
            </w:r>
            <w:r>
              <w:rPr>
                <w:sz w:val="18"/>
              </w:rPr>
              <w:t xml:space="preserve"> (a PDD restructure is a project change under Section F) but no protocol barrier is visible. Moving Appendix 6 and the monitoring plan out would remove 21,785 words (§3b) from the PDD.</w:t>
            </w:r>
          </w:p>
        </w:tc>
      </w:tr>
      <w:tr>
        <w:tc>
          <w:tcPr>
            <w:tcW w:type="dxa" w:w="1656"/>
          </w:tcPr>
          <w:p>
            <w:pPr>
              <w:spacing w:after="0"/>
            </w:pPr>
            <w:r>
              <w:rPr>
                <w:sz w:val="18"/>
              </w:rPr>
              <w:t>6</w:t>
            </w:r>
          </w:p>
        </w:tc>
        <w:tc>
          <w:tcPr>
            <w:tcW w:type="dxa" w:w="1656"/>
          </w:tcPr>
          <w:p>
            <w:pPr>
              <w:spacing w:after="0"/>
            </w:pPr>
            <w:r>
              <w:rPr>
                <w:b/>
                <w:sz w:val="18"/>
              </w:rPr>
              <w:t>Embodied emissions passed once, or as a site-level per-tonne estimate</w:t>
            </w:r>
          </w:p>
        </w:tc>
        <w:tc>
          <w:tcPr>
            <w:tcW w:type="dxa" w:w="1656"/>
          </w:tcPr>
          <w:p>
            <w:pPr>
              <w:spacing w:after="0"/>
            </w:pPr>
            <w:r>
              <w:rPr>
                <w:sz w:val="18"/>
              </w:rPr>
              <w:t>TIRE: "Total embodied emissions are passed upfront, with EoL emissions being the primary embodied emissions considered given the facility's age." (ghg1 p.4); RP2 "0 tons of CO2 emissions from embedded carbon" (ghg2 p.3). Great Plains: "Site material: steel — Estimated by the site manager — 3.5E-05 ton"; concrete "7.7E-05 m3" (PDD p.15), "allocated to each metric ton of waste based on a conservative estimate of lifetime processing waste capacity of 2,000,000 metric tons"</w:t>
            </w:r>
          </w:p>
        </w:tc>
        <w:tc>
          <w:tcPr>
            <w:tcW w:type="dxa" w:w="1656"/>
          </w:tcPr>
          <w:p>
            <w:pPr>
              <w:spacing w:after="0"/>
            </w:pPr>
            <w:r>
              <w:rPr>
                <w:sz w:val="18"/>
              </w:rPr>
              <w:t>Charm already adopts Vaulted's two factors for Kansas ("0.0000351566 tons of steel and 0.000077 m3 of concrete per ton of waste injected"). For its own sites: "emission factors from reputable sources such as GREET database, the EcoInvent database, NAICS supply Chain Emission Factors, USLCI database, ICE database, and/or the Athena Impact Estimator. These values are amortized over the expected useful life"; monthly "Basco 6 Capital and Sitework Embodied Emissions Inventory July 1 - July 31.xlsx"</w:t>
            </w:r>
          </w:p>
        </w:tc>
        <w:tc>
          <w:tcPr>
            <w:tcW w:type="dxa" w:w="1656"/>
          </w:tcPr>
          <w:p>
            <w:pPr>
              <w:spacing w:after="0"/>
            </w:pPr>
            <w:r>
              <w:rPr>
                <w:b/>
                <w:sz w:val="18"/>
              </w:rPr>
              <w:t>No — the protocol allows either.</w:t>
            </w:r>
            <w:r>
              <w:rPr>
                <w:sz w:val="18"/>
              </w:rPr>
              <w:t xml:space="preserve"> v1.2 §8.5.1: "GHG emissions associated with project establishment may be amortized over the anticipated project lifetime, or per output of product. Rules on amortization are outlined in Section 7 of the GHG Accounting Module." (module not read). v1.2 Table 1: establishment embodied "must be accounted for in the first Reporting Period or amortized in line with allocation rules".</w:t>
            </w:r>
          </w:p>
        </w:tc>
        <w:tc>
          <w:tcPr>
            <w:tcW w:type="dxa" w:w="1656"/>
          </w:tcPr>
          <w:p>
            <w:pPr>
              <w:spacing w:after="0"/>
            </w:pPr>
            <w:r>
              <w:rPr>
                <w:sz w:val="18"/>
              </w:rPr>
              <w:t>Neutral if the up-front total is the same; passing once front-loads the deduction onto early credits</w:t>
            </w:r>
          </w:p>
        </w:tc>
        <w:tc>
          <w:tcPr>
            <w:tcW w:type="dxa" w:w="1656"/>
          </w:tcPr>
          <w:p>
            <w:pPr>
              <w:spacing w:after="0"/>
            </w:pPr>
            <w:r>
              <w:rPr>
                <w:sz w:val="18"/>
              </w:rPr>
              <w:t>TIRE ver2 p.17: "embodied emissions were only passed in the first verification, and no other emissions are to be addressed during this reporting period"</w:t>
            </w:r>
          </w:p>
        </w:tc>
        <w:tc>
          <w:tcPr>
            <w:tcW w:type="dxa" w:w="1656"/>
          </w:tcPr>
          <w:p>
            <w:pPr>
              <w:spacing w:after="0"/>
            </w:pPr>
            <w:r>
              <w:rPr>
                <w:b/>
                <w:sz w:val="18"/>
              </w:rPr>
              <w:t>Needs Isometric approval</w:t>
            </w:r>
            <w:r>
              <w:rPr>
                <w:sz w:val="18"/>
              </w:rPr>
              <w:t xml:space="preserve"> — Charm's own verifier already has this open: FARs "ISS-36" (Basco site embodied-emissions allocation approach) and "ISS-34", with "July 2026: Updated amortization plan proposed and under review. To be implemented from August 2026 RP forward." A fixed per-tonne factor or a one-time pass would end the monthly inventory workbook.</w:t>
            </w:r>
          </w:p>
        </w:tc>
      </w:tr>
      <w:tr>
        <w:tc>
          <w:tcPr>
            <w:tcW w:type="dxa" w:w="1656"/>
          </w:tcPr>
          <w:p>
            <w:pPr>
              <w:spacing w:after="0"/>
            </w:pPr>
            <w:r>
              <w:rPr>
                <w:sz w:val="18"/>
              </w:rPr>
              <w:t>7</w:t>
            </w:r>
          </w:p>
        </w:tc>
        <w:tc>
          <w:tcPr>
            <w:tcW w:type="dxa" w:w="1656"/>
          </w:tcPr>
          <w:p>
            <w:pPr>
              <w:spacing w:after="0"/>
            </w:pPr>
            <w:r>
              <w:rPr>
                <w:b/>
                <w:sz w:val="18"/>
              </w:rPr>
              <w:t>Transport fuel from distance × a standard factor, embodied folded into the factor</w:t>
            </w:r>
          </w:p>
        </w:tc>
        <w:tc>
          <w:tcPr>
            <w:tcW w:type="dxa" w:w="1656"/>
          </w:tcPr>
          <w:p>
            <w:pPr>
              <w:spacing w:after="0"/>
            </w:pPr>
            <w:r>
              <w:rPr>
                <w:sz w:val="18"/>
              </w:rPr>
              <w:t>Great Plains: "gas mileage and distance for biomass transportation was used instead of the actual gallons/liters" (App 13 p.76); "Empty truck MPG 5.50 mi/gal STANDARD PUBLISHED VALUE". TIRE: "0.37 gallon/ton waste" "Measured - Fuel use mpg provided by transport company". NULIFE: "The emissions factors used for truck transport include embodied emissions from truck manufacture and fuel production and the impacts of fuel use, on a tonnekm basis." (p9) — no separate embodied line</w:t>
            </w:r>
          </w:p>
        </w:tc>
        <w:tc>
          <w:tcPr>
            <w:tcW w:type="dxa" w:w="1656"/>
          </w:tcPr>
          <w:p>
            <w:pPr>
              <w:spacing w:after="0"/>
            </w:pPr>
            <w:r>
              <w:rPr>
                <w:sz w:val="18"/>
              </w:rPr>
              <w:t>Distance-based GLEC already ("GLEC emission factors using cargo weight, vehicle type, and distance traveled with a correction for truck scale uncertainty"), plus separate embodied lines ("Per-mile embodied emissions are calculated based on GREET"; railcar "a cost-based calculation is used based on the average cost and expected useful life of a DOT-111 railcar"), plus "the longest route is assumed", plus "Journey distance is doubled to account for an unloaded round-trip"</w:t>
            </w:r>
          </w:p>
        </w:tc>
        <w:tc>
          <w:tcPr>
            <w:tcW w:type="dxa" w:w="1656"/>
          </w:tcPr>
          <w:p>
            <w:pPr>
              <w:spacing w:after="0"/>
            </w:pPr>
            <w:r>
              <w:rPr>
                <w:b/>
                <w:sz w:val="18"/>
              </w:rPr>
              <w:t>Not determinable.</w:t>
            </w:r>
            <w:r>
              <w:rPr>
                <w:sz w:val="18"/>
              </w:rPr>
              <w:t xml:space="preserve"> v1.0 §7.4.3.3 links to the Transportation Emissions Accounting Module "distance-based-method" and "energy-usage-method" (module not read). Charm's separate embodied lines fall under the module family the verifier lists ("Embodied Emissions Accounting V1.0", "Transportation Emissions Accounting V1.2").</w:t>
            </w:r>
          </w:p>
        </w:tc>
        <w:tc>
          <w:tcPr>
            <w:tcW w:type="dxa" w:w="1656"/>
          </w:tcPr>
          <w:p>
            <w:pPr>
              <w:spacing w:after="0"/>
            </w:pPr>
            <w:r>
              <w:rPr>
                <w:sz w:val="18"/>
              </w:rPr>
              <w:t>Neutral on fuel (Charm is already distance-based); folding embodied into a factor lowers granularity, not conservatism, if the factor includes it</w:t>
            </w:r>
          </w:p>
        </w:tc>
        <w:tc>
          <w:tcPr>
            <w:tcW w:type="dxa" w:w="1656"/>
          </w:tcPr>
          <w:p>
            <w:pPr>
              <w:spacing w:after="0"/>
            </w:pPr>
            <w:r>
              <w:rPr>
                <w:sz w:val="18"/>
              </w:rPr>
              <w:t>Great Plains and TIRE verified as quoted; NULIFE p20 "No significant findings"</w:t>
            </w:r>
          </w:p>
        </w:tc>
        <w:tc>
          <w:tcPr>
            <w:tcW w:type="dxa" w:w="1656"/>
          </w:tcPr>
          <w:p>
            <w:pPr>
              <w:spacing w:after="0"/>
            </w:pPr>
            <w:r>
              <w:rPr>
                <w:b/>
                <w:sz w:val="18"/>
              </w:rPr>
              <w:t>Needs protocol reading</w:t>
            </w:r>
            <w:r>
              <w:rPr>
                <w:sz w:val="18"/>
              </w:rPr>
              <w:t xml:space="preserve"> (Transportation and Embodied modules) to confirm whether a combined factor is allowed under Charm's protocol version. Gain would be dropping six embodied transport lines and the railcar cost method from the tree.</w:t>
            </w:r>
          </w:p>
        </w:tc>
      </w:tr>
      <w:tr>
        <w:tc>
          <w:tcPr>
            <w:tcW w:type="dxa" w:w="1656"/>
          </w:tcPr>
          <w:p>
            <w:pPr>
              <w:spacing w:after="0"/>
            </w:pPr>
            <w:r>
              <w:rPr>
                <w:sz w:val="18"/>
              </w:rPr>
              <w:t>8</w:t>
            </w:r>
          </w:p>
        </w:tc>
        <w:tc>
          <w:tcPr>
            <w:tcW w:type="dxa" w:w="1656"/>
          </w:tcPr>
          <w:p>
            <w:pPr>
              <w:spacing w:after="0"/>
            </w:pPr>
            <w:r>
              <w:rPr>
                <w:b/>
                <w:sz w:val="18"/>
              </w:rPr>
              <w:t>Calculated rather than metered injection electricity</w:t>
            </w:r>
          </w:p>
        </w:tc>
        <w:tc>
          <w:tcPr>
            <w:tcW w:type="dxa" w:w="1656"/>
          </w:tcPr>
          <w:p>
            <w:pPr>
              <w:spacing w:after="0"/>
            </w:pPr>
            <w:r>
              <w:rPr>
                <w:sz w:val="18"/>
              </w:rPr>
              <w:t>NULIFE: "Pump details provided by the Injection Partner. Details provided include pump horsepower and number of hours of operation to inject the relevant batch of material. The details are used to convert energy usage into kWh." (p25) with "a 20% increase in electricity usage is assumed due to the lack of primary measured data" (p48)</w:t>
            </w:r>
          </w:p>
        </w:tc>
        <w:tc>
          <w:tcPr>
            <w:tcW w:type="dxa" w:w="1656"/>
          </w:tcPr>
          <w:p>
            <w:pPr>
              <w:spacing w:after="0"/>
            </w:pPr>
            <w:r>
              <w:rPr>
                <w:sz w:val="18"/>
              </w:rPr>
              <w:t>Vaulted: "The reading on both meters is noted by site staff prior to and following injection"; Basco: "July 26 Louisiana Electricity.xlsx" (utility)</w:t>
            </w:r>
          </w:p>
        </w:tc>
        <w:tc>
          <w:tcPr>
            <w:tcW w:type="dxa" w:w="1656"/>
          </w:tcPr>
          <w:p>
            <w:pPr>
              <w:spacing w:after="0"/>
            </w:pPr>
            <w:r>
              <w:rPr>
                <w:b/>
                <w:sz w:val="18"/>
              </w:rPr>
              <w:t>Not determinable.</w:t>
            </w:r>
            <w:r>
              <w:rPr>
                <w:sz w:val="18"/>
              </w:rPr>
              <w:t xml:space="preserve"> v1.2 §6.5.1 lists "electricity usage from utility power meters" only as an example of a measured parameter.</w:t>
            </w:r>
          </w:p>
        </w:tc>
        <w:tc>
          <w:tcPr>
            <w:tcW w:type="dxa" w:w="1656"/>
          </w:tcPr>
          <w:p>
            <w:pPr>
              <w:spacing w:after="0"/>
            </w:pPr>
            <w:r>
              <w:rPr>
                <w:sz w:val="18"/>
              </w:rPr>
              <w:t>Lowers (NULIFE's own words: "lack of primary measured data")</w:t>
            </w:r>
          </w:p>
        </w:tc>
        <w:tc>
          <w:tcPr>
            <w:tcW w:type="dxa" w:w="1656"/>
          </w:tcPr>
          <w:p>
            <w:pPr>
              <w:spacing w:after="0"/>
            </w:pPr>
            <w:r>
              <w:rPr>
                <w:sz w:val="18"/>
              </w:rPr>
              <w:t>NULIFE verified; Log of Issues "all 'N/A'"</w:t>
            </w:r>
          </w:p>
        </w:tc>
        <w:tc>
          <w:tcPr>
            <w:tcW w:type="dxa" w:w="1656"/>
          </w:tcPr>
          <w:p>
            <w:pPr>
              <w:spacing w:after="0"/>
            </w:pPr>
            <w:r>
              <w:rPr>
                <w:b/>
                <w:sz w:val="18"/>
              </w:rPr>
              <w:t>Not applicable</w:t>
            </w:r>
            <w:r>
              <w:rPr>
                <w:sz w:val="18"/>
              </w:rPr>
              <w:t xml:space="preserve"> — Charm already has meters at both sites and the operator reports the Kansas reads; there is no cost to remove.</w:t>
            </w:r>
          </w:p>
        </w:tc>
      </w:tr>
      <w:tr>
        <w:tc>
          <w:tcPr>
            <w:tcW w:type="dxa" w:w="1656"/>
          </w:tcPr>
          <w:p>
            <w:pPr>
              <w:spacing w:after="0"/>
            </w:pPr>
            <w:r>
              <w:rPr>
                <w:sz w:val="18"/>
              </w:rPr>
              <w:t>9</w:t>
            </w:r>
          </w:p>
        </w:tc>
        <w:tc>
          <w:tcPr>
            <w:tcW w:type="dxa" w:w="1656"/>
          </w:tcPr>
          <w:p>
            <w:pPr>
              <w:spacing w:after="0"/>
            </w:pPr>
            <w:r>
              <w:rPr>
                <w:b/>
                <w:sz w:val="18"/>
              </w:rPr>
              <w:t>Period-level meter reads instead of per-injection reads</w:t>
            </w:r>
          </w:p>
        </w:tc>
        <w:tc>
          <w:tcPr>
            <w:tcW w:type="dxa" w:w="1656"/>
          </w:tcPr>
          <w:p>
            <w:pPr>
              <w:spacing w:after="0"/>
            </w:pPr>
            <w:r>
              <w:rPr>
                <w:sz w:val="18"/>
              </w:rPr>
              <w:t>Great Plains: "Final Office Meter Readout 10,483.00 kWh REPORTED", "Beginning Office Meter Readout 10,466.48 kWh REPORTED"; TIRE: "initial process energy use at the start of the audit period" + "final process energy use at the end of the audit period" — one datapoint for the whole period</w:t>
            </w:r>
          </w:p>
        </w:tc>
        <w:tc>
          <w:tcPr>
            <w:tcW w:type="dxa" w:w="1656"/>
          </w:tcPr>
          <w:p>
            <w:pPr>
              <w:spacing w:after="0"/>
            </w:pPr>
            <w:r>
              <w:rPr>
                <w:sz w:val="18"/>
              </w:rPr>
              <w:t>Kansas: "The reading on both meters is noted by site staff prior to and following injection"; Basco: one period figure "Basco Injection Electricity Usage (Grid) 50,484.34 kWh"</w:t>
            </w:r>
          </w:p>
        </w:tc>
        <w:tc>
          <w:tcPr>
            <w:tcW w:type="dxa" w:w="1656"/>
          </w:tcPr>
          <w:p>
            <w:pPr>
              <w:spacing w:after="0"/>
            </w:pPr>
            <w:r>
              <w:rPr>
                <w:b/>
                <w:sz w:val="18"/>
              </w:rPr>
              <w:t>Not determinable</w:t>
            </w:r>
            <w:r>
              <w:rPr>
                <w:sz w:val="18"/>
              </w:rPr>
              <w:t xml:space="preserve"> (module not read); v1.2 §8.5.2: "emissions must be attributed to the batch n to which they are associated. Allocation may be permitted in certain instances, on a case by case basis, in agreement with Isometric."</w:t>
            </w:r>
          </w:p>
        </w:tc>
        <w:tc>
          <w:tcPr>
            <w:tcW w:type="dxa" w:w="1656"/>
          </w:tcPr>
          <w:p>
            <w:pPr>
              <w:spacing w:after="0"/>
            </w:pPr>
            <w:r>
              <w:rPr>
                <w:sz w:val="18"/>
              </w:rPr>
              <w:t>Neutral</w:t>
            </w:r>
          </w:p>
        </w:tc>
        <w:tc>
          <w:tcPr>
            <w:tcW w:type="dxa" w:w="1656"/>
          </w:tcPr>
          <w:p>
            <w:pPr>
              <w:spacing w:after="0"/>
            </w:pPr>
            <w:r>
              <w:rPr>
                <w:sz w:val="18"/>
              </w:rPr>
              <w:t>TIRE ver2 and Great Plains VR verified as quoted</w:t>
            </w:r>
          </w:p>
        </w:tc>
        <w:tc>
          <w:tcPr>
            <w:tcW w:type="dxa" w:w="1656"/>
          </w:tcPr>
          <w:p>
            <w:pPr>
              <w:spacing w:after="0"/>
            </w:pPr>
            <w:r>
              <w:rPr>
                <w:b/>
                <w:sz w:val="18"/>
              </w:rPr>
              <w:t>Direct for Basco</w:t>
            </w:r>
            <w:r>
              <w:rPr>
                <w:sz w:val="18"/>
              </w:rPr>
              <w:t xml:space="preserve"> (already period-level); for Kansas the per-injection read is Vaulted's, done for Vaulted's own monthly report — no Charm saving.</w:t>
            </w:r>
          </w:p>
        </w:tc>
      </w:tr>
      <w:tr>
        <w:tc>
          <w:tcPr>
            <w:tcW w:type="dxa" w:w="1656"/>
          </w:tcPr>
          <w:p>
            <w:pPr>
              <w:spacing w:after="0"/>
            </w:pPr>
            <w:r>
              <w:rPr>
                <w:sz w:val="18"/>
              </w:rPr>
              <w:t>10</w:t>
            </w:r>
          </w:p>
        </w:tc>
        <w:tc>
          <w:tcPr>
            <w:tcW w:type="dxa" w:w="1656"/>
          </w:tcPr>
          <w:p>
            <w:pPr>
              <w:spacing w:after="0"/>
            </w:pPr>
            <w:r>
              <w:rPr>
                <w:b/>
                <w:sz w:val="18"/>
              </w:rPr>
              <w:t>Fewer datapoints and evidence files per removal</w:t>
            </w:r>
          </w:p>
        </w:tc>
        <w:tc>
          <w:tcPr>
            <w:tcW w:type="dxa" w:w="1656"/>
          </w:tcPr>
          <w:p>
            <w:pPr>
              <w:spacing w:after="0"/>
            </w:pPr>
            <w:r>
              <w:rPr>
                <w:sz w:val="18"/>
              </w:rPr>
              <w:t>TIRE: 12 datapoints, 4 named sources; Great Plains: 16 datapoints, "7 rows carry no source"; NULIFE: 45 datapoints but "Batch-specific evidence for this removal is seven files"</w:t>
            </w:r>
          </w:p>
        </w:tc>
        <w:tc>
          <w:tcPr>
            <w:tcW w:type="dxa" w:w="1656"/>
          </w:tcPr>
          <w:p>
            <w:pPr>
              <w:spacing w:after="0"/>
            </w:pPr>
            <w:r>
              <w:rPr>
                <w:sz w:val="18"/>
              </w:rPr>
              <w:t xml:space="preserve">46 datapoints; "at least 28 + 84 = 112 evidence files sit behind this one removal's 46 datapoints"; Verification Report Appendix 2 lists 183 </w:t>
            </w:r>
            <w:r>
              <w:rPr>
                <w:rFonts w:ascii="Consolas" w:hAnsi="Consolas" w:eastAsia="Consolas"/>
                <w:sz w:val="18"/>
              </w:rPr>
              <w:t>src_</w:t>
            </w:r>
            <w:r>
              <w:rPr>
                <w:sz w:val="18"/>
              </w:rPr>
              <w:t xml:space="preserve"> rows for the July statement</w:t>
            </w:r>
          </w:p>
        </w:tc>
        <w:tc>
          <w:tcPr>
            <w:tcW w:type="dxa" w:w="1656"/>
          </w:tcPr>
          <w:p>
            <w:pPr>
              <w:spacing w:after="0"/>
            </w:pPr>
            <w:r>
              <w:rPr>
                <w:b/>
                <w:sz w:val="18"/>
              </w:rPr>
              <w:t>Partly yes.</w:t>
            </w:r>
            <w:r>
              <w:rPr>
                <w:sz w:val="18"/>
              </w:rPr>
              <w:t xml:space="preserve"> v1.2 §8.3.2 required records: "weigh scale tickets for each delivery of bio-oil (arrival and departure weights) or other equivalent records"; "analytical results for each ASTM D5291 analysis for C content of bio-oil from each batch as required". So the 20 rail scale tickets behind "2396-R.pdf + 19 more" are required. For the rest — 16 diesel receipts ("7.28.26.LA.Diesel.pdf + 15 more"), 4 REC-certificate rows carrying the same file, map screenshots — not determinable.</w:t>
            </w:r>
          </w:p>
        </w:tc>
        <w:tc>
          <w:tcPr>
            <w:tcW w:type="dxa" w:w="1656"/>
          </w:tcPr>
          <w:p>
            <w:pPr>
              <w:spacing w:after="0"/>
            </w:pPr>
            <w:r>
              <w:rPr>
                <w:sz w:val="18"/>
              </w:rPr>
              <w:t>Neutral if the removed files are duplicates; lowers if primary evidence is dropped</w:t>
            </w:r>
          </w:p>
        </w:tc>
        <w:tc>
          <w:tcPr>
            <w:tcW w:type="dxa" w:w="1656"/>
          </w:tcPr>
          <w:p>
            <w:pPr>
              <w:spacing w:after="0"/>
            </w:pPr>
            <w:r>
              <w:rPr>
                <w:sz w:val="18"/>
              </w:rPr>
              <w:t>Charm's own verifier flagged evidence form, not quantity: ISS-85 "The converted file isn't visible. Acceptable for now considering it was provided in Google Drive"</w:t>
            </w:r>
          </w:p>
        </w:tc>
        <w:tc>
          <w:tcPr>
            <w:tcW w:type="dxa" w:w="1656"/>
          </w:tcPr>
          <w:p>
            <w:pPr>
              <w:spacing w:after="0"/>
            </w:pPr>
            <w:r>
              <w:rPr>
                <w:b/>
                <w:sz w:val="18"/>
              </w:rPr>
              <w:t>Direct</w:t>
            </w:r>
            <w:r>
              <w:rPr>
                <w:sz w:val="18"/>
              </w:rPr>
              <w:t xml:space="preserve"> for consolidation (one diesel ledger per period instead of 16 receipts; one REC datapoint instead of four "Constant CO₂ reduction" rows carrying the same certificate); the scale tickets and lab results must stay.</w:t>
            </w:r>
          </w:p>
        </w:tc>
      </w:tr>
      <w:tr>
        <w:tc>
          <w:tcPr>
            <w:tcW w:type="dxa" w:w="1656"/>
          </w:tcPr>
          <w:p>
            <w:pPr>
              <w:spacing w:after="0"/>
            </w:pPr>
            <w:r>
              <w:rPr>
                <w:sz w:val="18"/>
              </w:rPr>
              <w:t>11</w:t>
            </w:r>
          </w:p>
        </w:tc>
        <w:tc>
          <w:tcPr>
            <w:tcW w:type="dxa" w:w="1656"/>
          </w:tcPr>
          <w:p>
            <w:pPr>
              <w:spacing w:after="0"/>
            </w:pPr>
            <w:r>
              <w:rPr>
                <w:b/>
                <w:sz w:val="18"/>
              </w:rPr>
              <w:t>Single embodied method, one attribution factor, pre-existing sites excluded</w:t>
            </w:r>
          </w:p>
        </w:tc>
        <w:tc>
          <w:tcPr>
            <w:tcW w:type="dxa" w:w="1656"/>
          </w:tcPr>
          <w:p>
            <w:pPr>
              <w:spacing w:after="0"/>
            </w:pPr>
            <w:r>
              <w:rPr>
                <w:sz w:val="18"/>
              </w:rPr>
              <w:t>NULIFE: "the mass based method has been selected: Overall mass of equipment, separated by material type, and material emissions factors." (p26); "Attribution factor 0.08% DERIVED" on every embodied line; "Excluded because the site was not built for this project.The site was built in 1970 for industrial use." (p10)</w:t>
            </w:r>
          </w:p>
        </w:tc>
        <w:tc>
          <w:tcPr>
            <w:tcW w:type="dxa" w:w="1656"/>
          </w:tcPr>
          <w:p>
            <w:pPr>
              <w:spacing w:after="0"/>
            </w:pPr>
            <w:r>
              <w:rPr>
                <w:sz w:val="18"/>
              </w:rPr>
              <w:t>Six factor databases; separate per-mile truck, railcar (cost-based), AECN facility (cost-based) and grid-infrastructure embodied lines; Basco 6 conversion of an orphaned well carried as "Capital and Sitework" inventory</w:t>
            </w:r>
          </w:p>
        </w:tc>
        <w:tc>
          <w:tcPr>
            <w:tcW w:type="dxa" w:w="1656"/>
          </w:tcPr>
          <w:p>
            <w:pPr>
              <w:spacing w:after="0"/>
            </w:pPr>
            <w:r>
              <w:rPr>
                <w:b/>
                <w:sz w:val="18"/>
              </w:rPr>
              <w:t>Not determinable.</w:t>
            </w:r>
            <w:r>
              <w:rPr>
                <w:sz w:val="18"/>
              </w:rPr>
              <w:t xml:space="preserve"> NULIFE cites "Section 3.3 of the Embodied Emissions Accounting Module" for the mass-based method (module not read). v1.2 Table 1 lists establishment embodied "for equipment, buildings, infrastructure and temporary structures" without saying how conversion of an existing asset is treated.</w:t>
            </w:r>
          </w:p>
        </w:tc>
        <w:tc>
          <w:tcPr>
            <w:tcW w:type="dxa" w:w="1656"/>
          </w:tcPr>
          <w:p>
            <w:pPr>
              <w:spacing w:after="0"/>
            </w:pPr>
            <w:r>
              <w:rPr>
                <w:sz w:val="18"/>
              </w:rPr>
              <w:t>Neutral (single method) / lowers if pre-existing conversion work is excluded without module support</w:t>
            </w:r>
          </w:p>
        </w:tc>
        <w:tc>
          <w:tcPr>
            <w:tcW w:type="dxa" w:w="1656"/>
          </w:tcPr>
          <w:p>
            <w:pPr>
              <w:spacing w:after="0"/>
            </w:pPr>
            <w:r>
              <w:rPr>
                <w:sz w:val="18"/>
              </w:rPr>
              <w:t>NULIFE verified as quoted</w:t>
            </w:r>
          </w:p>
        </w:tc>
        <w:tc>
          <w:tcPr>
            <w:tcW w:type="dxa" w:w="1656"/>
          </w:tcPr>
          <w:p>
            <w:pPr>
              <w:spacing w:after="0"/>
            </w:pPr>
            <w:r>
              <w:rPr>
                <w:b/>
                <w:sz w:val="18"/>
              </w:rPr>
              <w:t>Needs protocol reading</w:t>
            </w:r>
            <w:r>
              <w:rPr>
                <w:sz w:val="18"/>
              </w:rPr>
              <w:t xml:space="preserve"> (Embodied Emissions Accounting Module §3.3). Overlaps rows 6 and 7.</w:t>
            </w:r>
          </w:p>
        </w:tc>
      </w:tr>
      <w:tr>
        <w:tc>
          <w:tcPr>
            <w:tcW w:type="dxa" w:w="1656"/>
          </w:tcPr>
          <w:p>
            <w:pPr>
              <w:spacing w:after="0"/>
            </w:pPr>
            <w:r>
              <w:rPr>
                <w:sz w:val="18"/>
              </w:rPr>
              <w:t>12</w:t>
            </w:r>
          </w:p>
        </w:tc>
        <w:tc>
          <w:tcPr>
            <w:tcW w:type="dxa" w:w="1656"/>
          </w:tcPr>
          <w:p>
            <w:pPr>
              <w:spacing w:after="0"/>
            </w:pPr>
            <w:r>
              <w:rPr>
                <w:b/>
                <w:sz w:val="18"/>
              </w:rPr>
              <w:t>Mass from producer records (volume × density − moisture) rather than the injection-site scale</w:t>
            </w:r>
          </w:p>
        </w:tc>
        <w:tc>
          <w:tcPr>
            <w:tcW w:type="dxa" w:w="1656"/>
          </w:tcPr>
          <w:p>
            <w:pPr>
              <w:spacing w:after="0"/>
            </w:pPr>
            <w:r>
              <w:rPr>
                <w:sz w:val="18"/>
              </w:rPr>
              <w:t>NULIFE: "Bio-oil Mass is determined by density measurement including a deduction for moisture content of the bio-oil." (p20–21); "The existing protocol implies the option to use the scale at the injection site" (p21)</w:t>
            </w:r>
          </w:p>
        </w:tc>
        <w:tc>
          <w:tcPr>
            <w:tcW w:type="dxa" w:w="1656"/>
          </w:tcPr>
          <w:p>
            <w:pPr>
              <w:spacing w:after="0"/>
            </w:pPr>
            <w:r>
              <w:rPr>
                <w:sz w:val="18"/>
              </w:rPr>
              <w:t>"weighing the delivery truck prior to and after injection on a certified scale" less consumables</w:t>
            </w:r>
          </w:p>
        </w:tc>
        <w:tc>
          <w:tcPr>
            <w:tcW w:type="dxa" w:w="1656"/>
          </w:tcPr>
          <w:p>
            <w:pPr>
              <w:spacing w:after="0"/>
            </w:pPr>
            <w:r>
              <w:rPr>
                <w:b/>
                <w:sz w:val="18"/>
              </w:rPr>
              <w:t>No, but the scale is the protocol's primary route.</w:t>
            </w:r>
            <w:r>
              <w:rPr>
                <w:sz w:val="18"/>
              </w:rPr>
              <w:t xml:space="preserve"> v1.2 §8.3.1.2: "The mass of injectant… is measured via determination of weight of delivered bio-oil to the injection site using a calibrated scale."; "The total mass injected may also be determined by other methods, such as use of a calibrated flow meter and density measurement, or use of calibrated on site weigh scales for smaller containers, where such methods are viable and justified."</w:t>
            </w:r>
          </w:p>
        </w:tc>
        <w:tc>
          <w:tcPr>
            <w:tcW w:type="dxa" w:w="1656"/>
          </w:tcPr>
          <w:p>
            <w:pPr>
              <w:spacing w:after="0"/>
            </w:pPr>
            <w:r>
              <w:rPr>
                <w:sz w:val="18"/>
              </w:rPr>
              <w:t>Lowers coverage of the sink measurement; NULIFE's version happens to be conservative (17.607 t vs 18.360 t)</w:t>
            </w:r>
          </w:p>
        </w:tc>
        <w:tc>
          <w:tcPr>
            <w:tcW w:type="dxa" w:w="1656"/>
          </w:tcPr>
          <w:p>
            <w:pPr>
              <w:spacing w:after="0"/>
            </w:pPr>
            <w:r>
              <w:rPr>
                <w:sz w:val="18"/>
              </w:rPr>
              <w:t>NULIFE verified</w:t>
            </w:r>
          </w:p>
        </w:tc>
        <w:tc>
          <w:tcPr>
            <w:tcW w:type="dxa" w:w="1656"/>
          </w:tcPr>
          <w:p>
            <w:pPr>
              <w:spacing w:after="0"/>
            </w:pPr>
            <w:r>
              <w:rPr>
                <w:b/>
                <w:sz w:val="18"/>
              </w:rPr>
              <w:t>Not applicable</w:t>
            </w:r>
            <w:r>
              <w:rPr>
                <w:sz w:val="18"/>
              </w:rPr>
              <w:t xml:space="preserve"> — Charm receives scale tickets from Vaulted and weighs at Basco already; no cost to remove, and the peer route is the protocol's secondary option.</w:t>
            </w:r>
          </w:p>
        </w:tc>
      </w:tr>
      <w:tr>
        <w:tc>
          <w:tcPr>
            <w:tcW w:type="dxa" w:w="1656"/>
          </w:tcPr>
          <w:p>
            <w:pPr>
              <w:spacing w:after="0"/>
            </w:pPr>
            <w:r>
              <w:rPr>
                <w:sz w:val="18"/>
              </w:rPr>
              <w:t>13</w:t>
            </w:r>
          </w:p>
        </w:tc>
        <w:tc>
          <w:tcPr>
            <w:tcW w:type="dxa" w:w="1656"/>
          </w:tcPr>
          <w:p>
            <w:pPr>
              <w:spacing w:after="0"/>
            </w:pPr>
            <w:r>
              <w:rPr>
                <w:b/>
                <w:sz w:val="18"/>
              </w:rPr>
              <w:t>Supplier-side weigh tickets, no scale at the injection site</w:t>
            </w:r>
          </w:p>
        </w:tc>
        <w:tc>
          <w:tcPr>
            <w:tcW w:type="dxa" w:w="1656"/>
          </w:tcPr>
          <w:p>
            <w:pPr>
              <w:spacing w:after="0"/>
            </w:pPr>
            <w:r>
              <w:rPr>
                <w:sz w:val="18"/>
              </w:rPr>
              <w:t>TIRE: "Biosolids truck loads are weighed at an external facility using calibrated equipment… No scale is available on site to perform truck weighing." (p.32)</w:t>
            </w:r>
          </w:p>
        </w:tc>
        <w:tc>
          <w:tcPr>
            <w:tcW w:type="dxa" w:w="1656"/>
          </w:tcPr>
          <w:p>
            <w:pPr>
              <w:spacing w:after="0"/>
            </w:pPr>
            <w:r>
              <w:rPr>
                <w:sz w:val="18"/>
              </w:rPr>
              <w:t>as row 12</w:t>
            </w:r>
          </w:p>
        </w:tc>
        <w:tc>
          <w:tcPr>
            <w:tcW w:type="dxa" w:w="1656"/>
          </w:tcPr>
          <w:p>
            <w:pPr>
              <w:spacing w:after="0"/>
            </w:pPr>
            <w:r>
              <w:rPr>
                <w:b/>
                <w:sz w:val="18"/>
              </w:rPr>
              <w:t>No — protocol text points to the receiving site.</w:t>
            </w:r>
            <w:r>
              <w:rPr>
                <w:sz w:val="18"/>
              </w:rPr>
              <w:t xml:space="preserve"> v1.2 §8.3.1.2 as quoted ("weight of delivered bio-oil to the injection site"); TIRE's own PDD quotes its protocol as "the difference between truck arrival and departure weights on a calibrated scale to determine delivered mass (Section 7.3.3.1)".</w:t>
            </w:r>
          </w:p>
        </w:tc>
        <w:tc>
          <w:tcPr>
            <w:tcW w:type="dxa" w:w="1656"/>
          </w:tcPr>
          <w:p>
            <w:pPr>
              <w:spacing w:after="0"/>
            </w:pPr>
            <w:r>
              <w:rPr>
                <w:sz w:val="18"/>
              </w:rPr>
              <w:t>Lowers</w:t>
            </w:r>
          </w:p>
        </w:tc>
        <w:tc>
          <w:tcPr>
            <w:tcW w:type="dxa" w:w="1656"/>
          </w:tcPr>
          <w:p>
            <w:pPr>
              <w:spacing w:after="0"/>
            </w:pPr>
            <w:r>
              <w:rPr>
                <w:sz w:val="18"/>
              </w:rPr>
              <w:t>TIRE validated; calibration "not confirmed in this case" (p.24)</w:t>
            </w:r>
          </w:p>
        </w:tc>
        <w:tc>
          <w:tcPr>
            <w:tcW w:type="dxa" w:w="1656"/>
          </w:tcPr>
          <w:p>
            <w:pPr>
              <w:spacing w:after="0"/>
            </w:pPr>
            <w:r>
              <w:rPr>
                <w:b/>
                <w:sz w:val="18"/>
              </w:rPr>
              <w:t>Not applicable</w:t>
            </w:r>
            <w:r>
              <w:rPr>
                <w:sz w:val="18"/>
              </w:rPr>
              <w:t xml:space="preserve"> — Charm's practice is the one matching the quoted text.</w:t>
            </w:r>
          </w:p>
        </w:tc>
      </w:tr>
      <w:tr>
        <w:tc>
          <w:tcPr>
            <w:tcW w:type="dxa" w:w="1656"/>
          </w:tcPr>
          <w:p>
            <w:pPr>
              <w:spacing w:after="0"/>
            </w:pPr>
            <w:r>
              <w:rPr>
                <w:sz w:val="18"/>
              </w:rPr>
              <w:t>14</w:t>
            </w:r>
          </w:p>
        </w:tc>
        <w:tc>
          <w:tcPr>
            <w:tcW w:type="dxa" w:w="1656"/>
          </w:tcPr>
          <w:p>
            <w:pPr>
              <w:spacing w:after="0"/>
            </w:pPr>
            <w:r>
              <w:rPr>
                <w:b/>
                <w:sz w:val="18"/>
              </w:rPr>
              <w:t>Storage monitoring left to the operator's permit programme rather than a bespoke plan in the PDD</w:t>
            </w:r>
          </w:p>
        </w:tc>
        <w:tc>
          <w:tcPr>
            <w:tcW w:type="dxa" w:w="1656"/>
          </w:tcPr>
          <w:p>
            <w:pPr>
              <w:spacing w:after="0"/>
            </w:pPr>
            <w:r>
              <w:rPr>
                <w:sz w:val="18"/>
              </w:rPr>
              <w:t>NULIFE: brine pH/chloride "Monthly, as per permitting requirements." by the partner (p31); "The Injection Partner is not required to test each delivery of material, unless there are identified abnormalities" (p29). Great Plains: "Monthly and quarterly reports are submitted to KDHE" (p.16). TIRE: "The following table summarizes monitoring requirements for the facility as stated in the Class V UIC Permit" (p.53)</w:t>
            </w:r>
          </w:p>
        </w:tc>
        <w:tc>
          <w:tcPr>
            <w:tcW w:type="dxa" w:w="1656"/>
          </w:tcPr>
          <w:p>
            <w:pPr>
              <w:spacing w:after="0"/>
            </w:pPr>
            <w:r>
              <w:rPr>
                <w:sz w:val="18"/>
              </w:rPr>
              <w:t>Kansas: nineteen parameters "each answered in a five-question format"; Charm-run per-batch TAN ("Every injection batch – Frequency may decrease if data shows significant consistency across batches"), density ("Every injection batch"), conductivity/chloride; Vaulted-run daily pH/temperature</w:t>
            </w:r>
          </w:p>
        </w:tc>
        <w:tc>
          <w:tcPr>
            <w:tcW w:type="dxa" w:w="1656"/>
          </w:tcPr>
          <w:p>
            <w:pPr>
              <w:spacing w:after="0"/>
            </w:pPr>
            <w:r>
              <w:rPr>
                <w:b/>
                <w:sz w:val="18"/>
              </w:rPr>
              <w:t>Not determinable</w:t>
            </w:r>
            <w:r>
              <w:rPr>
                <w:sz w:val="18"/>
              </w:rPr>
              <w:t xml:space="preserve"> — the Salt Caverns and Permeable Reservoirs modules were not read; v1.2 §6.2 requires the VVB to "Verify that storage sites adhere to the requirements listed in the relevant storage module."</w:t>
            </w:r>
          </w:p>
        </w:tc>
        <w:tc>
          <w:tcPr>
            <w:tcW w:type="dxa" w:w="1656"/>
          </w:tcPr>
          <w:p>
            <w:pPr>
              <w:spacing w:after="0"/>
            </w:pPr>
            <w:r>
              <w:rPr>
                <w:sz w:val="18"/>
              </w:rPr>
              <w:t>Neutral where the permit programme covers the module list; lowers where it does not</w:t>
            </w:r>
          </w:p>
        </w:tc>
        <w:tc>
          <w:tcPr>
            <w:tcW w:type="dxa" w:w="1656"/>
          </w:tcPr>
          <w:p>
            <w:pPr>
              <w:spacing w:after="0"/>
            </w:pPr>
            <w:r>
              <w:rPr>
                <w:sz w:val="18"/>
              </w:rPr>
              <w:t>NULIFE and Great Plains verified; but Great Plains carries "Open" FARs on gas monitoring at the shared site (reverse list, item R-GP4)</w:t>
            </w:r>
          </w:p>
        </w:tc>
        <w:tc>
          <w:tcPr>
            <w:tcW w:type="dxa" w:w="1656"/>
          </w:tcPr>
          <w:p>
            <w:pPr>
              <w:spacing w:after="0"/>
            </w:pPr>
            <w:r>
              <w:rPr>
                <w:b/>
                <w:sz w:val="18"/>
              </w:rPr>
              <w:t>Needs protocol reading</w:t>
            </w:r>
            <w:r>
              <w:rPr>
                <w:sz w:val="18"/>
              </w:rPr>
              <w:t xml:space="preserve"> (storage modules). Charm's own PDD already licenses a step-down on TAN and displaced-brine tests once data is consistent — that is direct, no approval needed beyond the PDD's own wording.</w:t>
            </w:r>
          </w:p>
        </w:tc>
      </w:tr>
      <w:tr>
        <w:tc>
          <w:tcPr>
            <w:tcW w:type="dxa" w:w="1656"/>
          </w:tcPr>
          <w:p>
            <w:pPr>
              <w:spacing w:after="0"/>
            </w:pPr>
            <w:r>
              <w:rPr>
                <w:sz w:val="18"/>
              </w:rPr>
              <w:t>15</w:t>
            </w:r>
          </w:p>
        </w:tc>
        <w:tc>
          <w:tcPr>
            <w:tcW w:type="dxa" w:w="1656"/>
          </w:tcPr>
          <w:p>
            <w:pPr>
              <w:spacing w:after="0"/>
            </w:pPr>
            <w:r>
              <w:rPr>
                <w:b/>
                <w:sz w:val="18"/>
              </w:rPr>
              <w:t>Supplier eligibility re-attested every two years, not annually</w:t>
            </w:r>
          </w:p>
        </w:tc>
        <w:tc>
          <w:tcPr>
            <w:tcW w:type="dxa" w:w="1656"/>
          </w:tcPr>
          <w:p>
            <w:pPr>
              <w:spacing w:after="0"/>
            </w:pPr>
            <w:r>
              <w:rPr>
                <w:sz w:val="18"/>
              </w:rPr>
              <w:t>Great Plains: "each supplier undergoes a full review and re-evidencing two years after initial certification" (VR p.24)</w:t>
            </w:r>
          </w:p>
        </w:tc>
        <w:tc>
          <w:tcPr>
            <w:tcW w:type="dxa" w:w="1656"/>
          </w:tcPr>
          <w:p>
            <w:pPr>
              <w:spacing w:after="0"/>
            </w:pPr>
            <w:r>
              <w:rPr>
                <w:sz w:val="18"/>
              </w:rPr>
              <w:t>"All third-party project participants are queried annually… required to return a signed affirmation"</w:t>
            </w:r>
          </w:p>
        </w:tc>
        <w:tc>
          <w:tcPr>
            <w:tcW w:type="dxa" w:w="1656"/>
          </w:tcPr>
          <w:p>
            <w:pPr>
              <w:spacing w:after="0"/>
            </w:pPr>
            <w:r>
              <w:rPr>
                <w:b/>
                <w:sz w:val="18"/>
              </w:rPr>
              <w:t>Not determinable</w:t>
            </w:r>
            <w:r>
              <w:rPr>
                <w:sz w:val="18"/>
              </w:rPr>
              <w:t xml:space="preserve"> (Biomass Feedstock Accounting Module not read)</w:t>
            </w:r>
          </w:p>
        </w:tc>
        <w:tc>
          <w:tcPr>
            <w:tcW w:type="dxa" w:w="1656"/>
          </w:tcPr>
          <w:p>
            <w:pPr>
              <w:spacing w:after="0"/>
            </w:pPr>
            <w:r>
              <w:rPr>
                <w:sz w:val="18"/>
              </w:rPr>
              <w:t>Neutral</w:t>
            </w:r>
          </w:p>
        </w:tc>
        <w:tc>
          <w:tcPr>
            <w:tcW w:type="dxa" w:w="1656"/>
          </w:tcPr>
          <w:p>
            <w:pPr>
              <w:spacing w:after="0"/>
            </w:pPr>
            <w:r>
              <w:rPr>
                <w:sz w:val="18"/>
              </w:rPr>
              <w:t>Great Plains VR p.24 (ISS 122)</w:t>
            </w:r>
          </w:p>
        </w:tc>
        <w:tc>
          <w:tcPr>
            <w:tcW w:type="dxa" w:w="1656"/>
          </w:tcPr>
          <w:p>
            <w:pPr>
              <w:spacing w:after="0"/>
            </w:pPr>
            <w:r>
              <w:rPr>
                <w:b/>
                <w:sz w:val="18"/>
              </w:rPr>
              <w:t>Needs protocol reading</w:t>
            </w:r>
            <w:r>
              <w:rPr>
                <w:sz w:val="18"/>
              </w:rPr>
              <w:t>; small saving (one annual round of letters).</w:t>
            </w:r>
          </w:p>
        </w:tc>
      </w:tr>
      <w:tr>
        <w:tc>
          <w:tcPr>
            <w:tcW w:type="dxa" w:w="1656"/>
          </w:tcPr>
          <w:p>
            <w:pPr>
              <w:spacing w:after="0"/>
            </w:pPr>
            <w:r>
              <w:rPr>
                <w:sz w:val="18"/>
              </w:rPr>
              <w:t>16</w:t>
            </w:r>
          </w:p>
        </w:tc>
        <w:tc>
          <w:tcPr>
            <w:tcW w:type="dxa" w:w="1656"/>
          </w:tcPr>
          <w:p>
            <w:pPr>
              <w:spacing w:after="0"/>
            </w:pPr>
            <w:r>
              <w:rPr>
                <w:b/>
                <w:sz w:val="18"/>
              </w:rPr>
              <w:t>No pre-processing, no consumables, no mass-loss rules</w:t>
            </w:r>
          </w:p>
        </w:tc>
        <w:tc>
          <w:tcPr>
            <w:tcW w:type="dxa" w:w="1656"/>
          </w:tcPr>
          <w:p>
            <w:pPr>
              <w:spacing w:after="0"/>
            </w:pPr>
            <w:r>
              <w:rPr>
                <w:sz w:val="18"/>
              </w:rPr>
              <w:t>NULIFE: bio-oil goes "to the injection site by a third-party road transport company" (p3) with no salt, caustic or sparging; Great Plains and TIRE: nothing to net out</w:t>
            </w:r>
          </w:p>
        </w:tc>
        <w:tc>
          <w:tcPr>
            <w:tcW w:type="dxa" w:w="1656"/>
          </w:tcPr>
          <w:p>
            <w:pPr>
              <w:spacing w:after="0"/>
            </w:pPr>
            <w:r>
              <w:rPr>
                <w:sz w:val="18"/>
              </w:rPr>
              <w:t>"The mass of consumables added to the bio-oil being processed are subtracted from the Total Injectate Mass"; salt residue "70% (used as a conservative estimate)"; tote "standard loss (which came out to 5.33kg)"; AECN upstream loss "+25%"; sparging "1.29% of the input mass is deducted"; Kerry filtration "0.071%"</w:t>
            </w:r>
          </w:p>
        </w:tc>
        <w:tc>
          <w:tcPr>
            <w:tcW w:type="dxa" w:w="1656"/>
          </w:tcPr>
          <w:p>
            <w:pPr>
              <w:spacing w:after="0"/>
            </w:pPr>
            <w:r>
              <w:rPr>
                <w:b/>
                <w:sz w:val="18"/>
              </w:rPr>
              <w:t>No — these are process consequences, not protocol requirements</w:t>
            </w:r>
            <w:r>
              <w:rPr>
                <w:sz w:val="18"/>
              </w:rPr>
              <w:t>; none of the peers' protocol quotes mention them.</w:t>
            </w:r>
          </w:p>
        </w:tc>
        <w:tc>
          <w:tcPr>
            <w:tcW w:type="dxa" w:w="1656"/>
          </w:tcPr>
          <w:p>
            <w:pPr>
              <w:spacing w:after="0"/>
            </w:pPr>
            <w:r>
              <w:rPr>
                <w:sz w:val="18"/>
              </w:rPr>
              <w:t>Neutral</w:t>
            </w:r>
          </w:p>
        </w:tc>
        <w:tc>
          <w:tcPr>
            <w:tcW w:type="dxa" w:w="1656"/>
          </w:tcPr>
          <w:p>
            <w:pPr>
              <w:spacing w:after="0"/>
            </w:pPr>
            <w:r>
              <w:rPr>
                <w:sz w:val="18"/>
              </w:rPr>
              <w:t>—</w:t>
            </w:r>
          </w:p>
        </w:tc>
        <w:tc>
          <w:tcPr>
            <w:tcW w:type="dxa" w:w="1656"/>
          </w:tcPr>
          <w:p>
            <w:pPr>
              <w:spacing w:after="0"/>
            </w:pPr>
            <w:r>
              <w:rPr>
                <w:b/>
                <w:sz w:val="18"/>
              </w:rPr>
              <w:t>Not applicable as a method</w:t>
            </w:r>
            <w:r>
              <w:rPr>
                <w:sz w:val="18"/>
              </w:rPr>
              <w:t xml:space="preserve"> — the Kansas acceptance criteria drive the pre-processing step; the rules exist because the step exists. Included so the register is complete.</w:t>
            </w:r>
          </w:p>
        </w:tc>
      </w:tr>
    </w:tbl>
    <w:p/>
    <w:p>
      <w:pPr>
        <w:sectPr>
          <w:pgSz w:w="15840" w:h="12240" w:orient="landscape"/>
          <w:pgMar w:top="1296" w:right="1296" w:bottom="1296" w:left="1296" w:header="720" w:footer="720" w:gutter="0"/>
          <w:cols w:space="720"/>
          <w:docGrid w:linePitch="360"/>
        </w:sectPr>
      </w:pPr>
    </w:p>
    <w:p>
      <w:r>
        <w:rPr>
          <w:b/>
        </w:rPr>
        <w:t>Reverse list — where peers are heavier or lower-integrity than Charm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6E4F0"/>
          </w:tcPr>
          <w:p>
            <w:pPr>
              <w:spacing w:after="0"/>
            </w:pPr>
            <w:r>
              <w:rPr>
                <w:b/>
                <w:sz w:val="19"/>
              </w:rPr>
              <w:t>Ref</w:t>
            </w:r>
          </w:p>
        </w:tc>
        <w:tc>
          <w:tcPr>
            <w:tcW w:type="dxa" w:w="2412"/>
            <w:shd w:val="clear" w:color="auto" w:fill="D6E4F0"/>
          </w:tcPr>
          <w:p>
            <w:pPr>
              <w:spacing w:after="0"/>
            </w:pPr>
            <w:r>
              <w:rPr>
                <w:b/>
                <w:sz w:val="19"/>
              </w:rPr>
              <w:t>Peer</w:t>
            </w:r>
          </w:p>
        </w:tc>
        <w:tc>
          <w:tcPr>
            <w:tcW w:type="dxa" w:w="2412"/>
            <w:shd w:val="clear" w:color="auto" w:fill="D6E4F0"/>
          </w:tcPr>
          <w:p>
            <w:pPr>
              <w:spacing w:after="0"/>
            </w:pPr>
            <w:r>
              <w:rPr>
                <w:b/>
                <w:sz w:val="19"/>
              </w:rPr>
              <w:t>What the text shows</w:t>
            </w:r>
          </w:p>
        </w:tc>
        <w:tc>
          <w:tcPr>
            <w:tcW w:type="dxa" w:w="2412"/>
            <w:shd w:val="clear" w:color="auto" w:fill="D6E4F0"/>
          </w:tcPr>
          <w:p>
            <w:pPr>
              <w:spacing w:after="0"/>
            </w:pPr>
            <w:r>
              <w:rPr>
                <w:b/>
                <w:sz w:val="19"/>
              </w:rPr>
              <w:t>Compared with Charm</w:t>
            </w:r>
          </w:p>
        </w:tc>
      </w:tr>
      <w:tr>
        <w:tc>
          <w:tcPr>
            <w:tcW w:type="dxa" w:w="2412"/>
          </w:tcPr>
          <w:p>
            <w:pPr>
              <w:spacing w:after="0"/>
            </w:pPr>
            <w:r>
              <w:rPr>
                <w:sz w:val="19"/>
              </w:rPr>
              <w:t>R-NL1</w:t>
            </w:r>
          </w:p>
        </w:tc>
        <w:tc>
          <w:tcPr>
            <w:tcW w:type="dxa" w:w="2412"/>
          </w:tcPr>
          <w:p>
            <w:pPr>
              <w:spacing w:after="0"/>
            </w:pPr>
            <w:r>
              <w:rPr>
                <w:sz w:val="19"/>
              </w:rPr>
              <w:t>NULIFE</w:t>
            </w:r>
          </w:p>
        </w:tc>
        <w:tc>
          <w:tcPr>
            <w:tcW w:type="dxa" w:w="2412"/>
          </w:tcPr>
          <w:p>
            <w:pPr>
              <w:spacing w:after="0"/>
            </w:pPr>
            <w:r>
              <w:rPr>
                <w:sz w:val="19"/>
              </w:rPr>
              <w:t>"three (3) unique samples of bio-oil", "Each sample is tested in duplicates" per production day (p48); moisture "on three bio-oil samples from every HTL production run" (p21); δ13C testing that is "not required under the protocol" (p30)</w:t>
            </w:r>
          </w:p>
        </w:tc>
        <w:tc>
          <w:tcPr>
            <w:tcW w:type="dxa" w:w="2412"/>
          </w:tcPr>
          <w:p>
            <w:pPr>
              <w:spacing w:after="0"/>
            </w:pPr>
            <w:r>
              <w:rPr>
                <w:sz w:val="19"/>
              </w:rPr>
              <w:t>Heavier than Charm's one sample per injection batch</w:t>
            </w:r>
          </w:p>
        </w:tc>
      </w:tr>
      <w:tr>
        <w:tc>
          <w:tcPr>
            <w:tcW w:type="dxa" w:w="2412"/>
          </w:tcPr>
          <w:p>
            <w:pPr>
              <w:spacing w:after="0"/>
            </w:pPr>
            <w:r>
              <w:rPr>
                <w:sz w:val="19"/>
              </w:rPr>
              <w:t>R-NL2</w:t>
            </w:r>
          </w:p>
        </w:tc>
        <w:tc>
          <w:tcPr>
            <w:tcW w:type="dxa" w:w="2412"/>
          </w:tcPr>
          <w:p>
            <w:pPr>
              <w:spacing w:after="0"/>
            </w:pPr>
            <w:r>
              <w:rPr>
                <w:sz w:val="19"/>
              </w:rPr>
              <w:t>NULIFE</w:t>
            </w:r>
          </w:p>
        </w:tc>
        <w:tc>
          <w:tcPr>
            <w:tcW w:type="dxa" w:w="2412"/>
          </w:tcPr>
          <w:p>
            <w:pPr>
              <w:spacing w:after="0"/>
            </w:pPr>
            <w:r>
              <w:rPr>
                <w:sz w:val="19"/>
              </w:rPr>
              <w:t>Carbon lab "not ISO17025 accredited" (p20); injection electricity "lack of primary measured data" (p48); "the conservative value of 70% carbon is assumed" for a run with no data (p48); gas monitor "we anticipate implementation for Q4 2025" (p32); MIT "Every 5 years" (p33); registry crediting period "01 Jun 2025 to 01 Jun 2035" against PDD "Aug 1, 2025 / 5 years"</w:t>
            </w:r>
          </w:p>
        </w:tc>
        <w:tc>
          <w:tcPr>
            <w:tcW w:type="dxa" w:w="2412"/>
          </w:tcPr>
          <w:p>
            <w:pPr>
              <w:spacing w:after="0"/>
            </w:pPr>
            <w:r>
              <w:rPr>
                <w:sz w:val="19"/>
              </w:rPr>
              <w:t>Lower integrity than Charm</w:t>
            </w:r>
          </w:p>
        </w:tc>
      </w:tr>
      <w:tr>
        <w:tc>
          <w:tcPr>
            <w:tcW w:type="dxa" w:w="2412"/>
          </w:tcPr>
          <w:p>
            <w:pPr>
              <w:spacing w:after="0"/>
            </w:pPr>
            <w:r>
              <w:rPr>
                <w:sz w:val="19"/>
              </w:rPr>
              <w:t>R-GP1</w:t>
            </w:r>
          </w:p>
        </w:tc>
        <w:tc>
          <w:tcPr>
            <w:tcW w:type="dxa" w:w="2412"/>
          </w:tcPr>
          <w:p>
            <w:pPr>
              <w:spacing w:after="0"/>
            </w:pPr>
            <w:r>
              <w:rPr>
                <w:sz w:val="19"/>
              </w:rPr>
              <w:t>Great Plains</w:t>
            </w:r>
          </w:p>
        </w:tc>
        <w:tc>
          <w:tcPr>
            <w:tcW w:type="dxa" w:w="2412"/>
          </w:tcPr>
          <w:p>
            <w:pPr>
              <w:spacing w:after="0"/>
            </w:pPr>
            <w:r>
              <w:rPr>
                <w:sz w:val="19"/>
              </w:rPr>
              <w:t>"Carbon content measurement of every delivery batch is cost prohibitive" (VR p.13); fuel by MPG; embodied "Estimated by the site manager" (p.15); "draft monitoring reports" accepted (VR p.18)</w:t>
            </w:r>
          </w:p>
        </w:tc>
        <w:tc>
          <w:tcPr>
            <w:tcW w:type="dxa" w:w="2412"/>
          </w:tcPr>
          <w:p>
            <w:pPr>
              <w:spacing w:after="0"/>
            </w:pPr>
            <w:r>
              <w:rPr>
                <w:sz w:val="19"/>
              </w:rPr>
              <w:t>Lower measurement coverage than Charm</w:t>
            </w:r>
          </w:p>
        </w:tc>
      </w:tr>
      <w:tr>
        <w:tc>
          <w:tcPr>
            <w:tcW w:type="dxa" w:w="2412"/>
          </w:tcPr>
          <w:p>
            <w:pPr>
              <w:spacing w:after="0"/>
            </w:pPr>
            <w:r>
              <w:rPr>
                <w:sz w:val="19"/>
              </w:rPr>
              <w:t>R-GP2</w:t>
            </w:r>
          </w:p>
        </w:tc>
        <w:tc>
          <w:tcPr>
            <w:tcW w:type="dxa" w:w="2412"/>
          </w:tcPr>
          <w:p>
            <w:pPr>
              <w:spacing w:after="0"/>
            </w:pPr>
            <w:r>
              <w:rPr>
                <w:sz w:val="19"/>
              </w:rPr>
              <w:t>Great Plains</w:t>
            </w:r>
          </w:p>
        </w:tc>
        <w:tc>
          <w:tcPr>
            <w:tcW w:type="dxa" w:w="2412"/>
          </w:tcPr>
          <w:p>
            <w:pPr>
              <w:spacing w:after="0"/>
            </w:pPr>
            <w:r>
              <w:rPr>
                <w:sz w:val="19"/>
              </w:rPr>
              <w:t>"23.532 ÷ 5.908 = 3.98 t of waste hauled and weighed per net tCO₂e"; 252 issuance events; twelve supplier appendices</w:t>
            </w:r>
          </w:p>
        </w:tc>
        <w:tc>
          <w:tcPr>
            <w:tcW w:type="dxa" w:w="2412"/>
          </w:tcPr>
          <w:p>
            <w:pPr>
              <w:spacing w:after="0"/>
            </w:pPr>
            <w:r>
              <w:rPr>
                <w:sz w:val="19"/>
              </w:rPr>
              <w:t>Heavier logistics and filing per credit than Charm</w:t>
            </w:r>
          </w:p>
        </w:tc>
      </w:tr>
      <w:tr>
        <w:tc>
          <w:tcPr>
            <w:tcW w:type="dxa" w:w="2412"/>
          </w:tcPr>
          <w:p>
            <w:pPr>
              <w:spacing w:after="0"/>
            </w:pPr>
            <w:r>
              <w:rPr>
                <w:sz w:val="19"/>
              </w:rPr>
              <w:t>R-GP3</w:t>
            </w:r>
          </w:p>
        </w:tc>
        <w:tc>
          <w:tcPr>
            <w:tcW w:type="dxa" w:w="2412"/>
          </w:tcPr>
          <w:p>
            <w:pPr>
              <w:spacing w:after="0"/>
            </w:pPr>
            <w:r>
              <w:rPr>
                <w:sz w:val="19"/>
              </w:rPr>
              <w:t>Great Plains</w:t>
            </w:r>
          </w:p>
        </w:tc>
        <w:tc>
          <w:tcPr>
            <w:tcW w:type="dxa" w:w="2412"/>
          </w:tcPr>
          <w:p>
            <w:pPr>
              <w:spacing w:after="0"/>
            </w:pPr>
            <w:r>
              <w:rPr>
                <w:sz w:val="19"/>
              </w:rPr>
              <w:t>"6.996 tons CO2 emissions from historical cavern propane (CH4,CO2)" (GHG Statement p.3) — a legacy deduction Charm's Kansas removals do not carry</w:t>
            </w:r>
          </w:p>
        </w:tc>
        <w:tc>
          <w:tcPr>
            <w:tcW w:type="dxa" w:w="2412"/>
          </w:tcPr>
          <w:p>
            <w:pPr>
              <w:spacing w:after="0"/>
            </w:pPr>
            <w:r>
              <w:rPr>
                <w:sz w:val="19"/>
              </w:rPr>
              <w:t>Heavier emissions line</w:t>
            </w:r>
          </w:p>
        </w:tc>
      </w:tr>
      <w:tr>
        <w:tc>
          <w:tcPr>
            <w:tcW w:type="dxa" w:w="2412"/>
          </w:tcPr>
          <w:p>
            <w:pPr>
              <w:spacing w:after="0"/>
            </w:pPr>
            <w:r>
              <w:rPr>
                <w:sz w:val="19"/>
              </w:rPr>
              <w:t>R-GP4</w:t>
            </w:r>
          </w:p>
        </w:tc>
        <w:tc>
          <w:tcPr>
            <w:tcW w:type="dxa" w:w="2412"/>
          </w:tcPr>
          <w:p>
            <w:pPr>
              <w:spacing w:after="0"/>
            </w:pPr>
            <w:r>
              <w:rPr>
                <w:sz w:val="19"/>
              </w:rPr>
              <w:t xml:space="preserve">Great Plains — </w:t>
            </w:r>
            <w:r>
              <w:rPr>
                <w:b/>
                <w:sz w:val="19"/>
              </w:rPr>
              <w:t>shared Hutchinson caverns</w:t>
            </w:r>
          </w:p>
        </w:tc>
        <w:tc>
          <w:tcPr>
            <w:tcW w:type="dxa" w:w="2412"/>
          </w:tcPr>
          <w:p>
            <w:pPr>
              <w:spacing w:after="0"/>
            </w:pPr>
            <w:r>
              <w:rPr>
                <w:sz w:val="19"/>
              </w:rPr>
              <w:t>"Vaulted is not investigating every gas detection alarm activation. LEL alarms at the site have been increasing in frequency, and Vaulted is not conducting a cause investigation following each event." (VR p.18); exemption: "During active injection, Isometric is exempting Vaulted from the requirement to investigate every gas detection alarm activation."; "The wells are equipped with continuous LEL (lower explosive limit) detectors that provide the required alarm and injection shut-off function but cannot speciate gases" (VR p.29); "Three Forward Action Requests remain 'Open' (VR p.17, Table 4)"; verifier "Risk Assessment Questionnaire score was 2 which indicates a Low (1-3) – 5% risk" (VR p.14) against the PDD's "Risk Score 0" and the registry's "2%" buffer</w:t>
            </w:r>
          </w:p>
        </w:tc>
        <w:tc>
          <w:tcPr>
            <w:tcW w:type="dxa" w:w="2412"/>
          </w:tcPr>
          <w:p>
            <w:pPr>
              <w:spacing w:after="0"/>
            </w:pPr>
            <w:r>
              <w:rPr>
                <w:sz w:val="19"/>
              </w:rPr>
              <w:t>Charm's PDD scores the same site "Total Risk Score | 0" and its own July verification report carries two "FAR (prior)" rows on Vaulted post-closure notification/monitoring ("July 2026: Compliance data has been collected in July and will be submitted for monitoring verification in August 2026"). Charm's Kansas storage integrity is only as good as Vaulted's programme.</w:t>
            </w:r>
          </w:p>
        </w:tc>
      </w:tr>
      <w:tr>
        <w:tc>
          <w:tcPr>
            <w:tcW w:type="dxa" w:w="2412"/>
          </w:tcPr>
          <w:p>
            <w:pPr>
              <w:spacing w:after="0"/>
            </w:pPr>
            <w:r>
              <w:rPr>
                <w:sz w:val="19"/>
              </w:rPr>
              <w:t>R-T1</w:t>
            </w:r>
          </w:p>
        </w:tc>
        <w:tc>
          <w:tcPr>
            <w:tcW w:type="dxa" w:w="2412"/>
          </w:tcPr>
          <w:p>
            <w:pPr>
              <w:spacing w:after="0"/>
            </w:pPr>
            <w:r>
              <w:rPr>
                <w:sz w:val="19"/>
              </w:rPr>
              <w:t>TIRE</w:t>
            </w:r>
          </w:p>
        </w:tc>
        <w:tc>
          <w:tcPr>
            <w:tcW w:type="dxa" w:w="2412"/>
          </w:tcPr>
          <w:p>
            <w:pPr>
              <w:spacing w:after="0"/>
            </w:pPr>
            <w:r>
              <w:rPr>
                <w:sz w:val="19"/>
              </w:rPr>
              <w:t>Five-year weekly baseline plus cushion, "evaluated monthly or quarterly for the first year" (p.14); RP1 "falsely low cushion" (ghg2 p.3); only "40.7 %" of RP2 mass creditable</w:t>
            </w:r>
          </w:p>
        </w:tc>
        <w:tc>
          <w:tcPr>
            <w:tcW w:type="dxa" w:w="2412"/>
          </w:tcPr>
          <w:p>
            <w:pPr>
              <w:spacing w:after="0"/>
            </w:pPr>
            <w:r>
              <w:rPr>
                <w:sz w:val="19"/>
              </w:rPr>
              <w:t>Heavier crediting machinery than Charm, which credits every tonne</w:t>
            </w:r>
          </w:p>
        </w:tc>
      </w:tr>
      <w:tr>
        <w:tc>
          <w:tcPr>
            <w:tcW w:type="dxa" w:w="2412"/>
          </w:tcPr>
          <w:p>
            <w:pPr>
              <w:spacing w:after="0"/>
            </w:pPr>
            <w:r>
              <w:rPr>
                <w:sz w:val="19"/>
              </w:rPr>
              <w:t>R-T2</w:t>
            </w:r>
          </w:p>
        </w:tc>
        <w:tc>
          <w:tcPr>
            <w:tcW w:type="dxa" w:w="2412"/>
          </w:tcPr>
          <w:p>
            <w:pPr>
              <w:spacing w:after="0"/>
            </w:pPr>
            <w:r>
              <w:rPr>
                <w:sz w:val="19"/>
              </w:rPr>
              <w:t>TIRE</w:t>
            </w:r>
          </w:p>
        </w:tc>
        <w:tc>
          <w:tcPr>
            <w:tcW w:type="dxa" w:w="2412"/>
          </w:tcPr>
          <w:p>
            <w:pPr>
              <w:spacing w:after="0"/>
            </w:pPr>
            <w:r>
              <w:rPr>
                <w:sz w:val="19"/>
              </w:rPr>
              <w:t>Quarterly fall-off tests, quarterly model updates, quarterly microseismic, InSAR/GPS subsidence (E.1 pp.55–57)</w:t>
            </w:r>
          </w:p>
        </w:tc>
        <w:tc>
          <w:tcPr>
            <w:tcW w:type="dxa" w:w="2412"/>
          </w:tcPr>
          <w:p>
            <w:pPr>
              <w:spacing w:after="0"/>
            </w:pPr>
            <w:r>
              <w:rPr>
                <w:sz w:val="19"/>
              </w:rPr>
              <w:t>Heavier subsurface programme than Basco 6</w:t>
            </w:r>
          </w:p>
        </w:tc>
      </w:tr>
      <w:tr>
        <w:tc>
          <w:tcPr>
            <w:tcW w:type="dxa" w:w="2412"/>
          </w:tcPr>
          <w:p>
            <w:pPr>
              <w:spacing w:after="0"/>
            </w:pPr>
            <w:r>
              <w:rPr>
                <w:sz w:val="19"/>
              </w:rPr>
              <w:t>R-T3</w:t>
            </w:r>
          </w:p>
        </w:tc>
        <w:tc>
          <w:tcPr>
            <w:tcW w:type="dxa" w:w="2412"/>
          </w:tcPr>
          <w:p>
            <w:pPr>
              <w:spacing w:after="0"/>
            </w:pPr>
            <w:r>
              <w:rPr>
                <w:sz w:val="19"/>
              </w:rPr>
              <w:t>TIRE</w:t>
            </w:r>
          </w:p>
        </w:tc>
        <w:tc>
          <w:tcPr>
            <w:tcW w:type="dxa" w:w="2412"/>
          </w:tcPr>
          <w:p>
            <w:pPr>
              <w:spacing w:after="0"/>
            </w:pPr>
            <w:r>
              <w:rPr>
                <w:sz w:val="19"/>
              </w:rPr>
              <w:t>Supplier scale calibration "not confirmed in this case" (p.24); steel "High uncertainty, based on expert judgment" (p.25); "6%" carbon placeholder "until real data is obtained" (p.26); counterfactual stated as "two-pool", "three-pool… discounts 1%", and "Counterfactual (2.92%)" without reconciliation; "NOTE to Isometric: Lab reports are forthcoming." (p.59); ownership FAR "will need to provide a new amendment to remain in compliance" (ver2 p.18)</w:t>
            </w:r>
          </w:p>
        </w:tc>
        <w:tc>
          <w:tcPr>
            <w:tcW w:type="dxa" w:w="2412"/>
          </w:tcPr>
          <w:p>
            <w:pPr>
              <w:spacing w:after="0"/>
            </w:pPr>
            <w:r>
              <w:rPr>
                <w:sz w:val="19"/>
              </w:rPr>
              <w:t>Lower integrity than Charm</w:t>
            </w:r>
          </w:p>
        </w:tc>
      </w:tr>
    </w:tbl>
    <w:p/>
    <w:p>
      <w:pPr>
        <w:pStyle w:val="Heading2"/>
      </w:pPr>
      <w:r>
        <w:t>7. Open questions that need a protocol read or an Isometric conversation</w:t>
      </w:r>
    </w:p>
    <w:p>
      <w:r>
        <w:rPr>
          <w:b/>
        </w:rPr>
        <w:t>Q1 — Does Charm meet the protocol's minimum number of samples per batch?</w:t>
      </w:r>
      <w:r>
        <w:t xml:space="preserve"> This is the sharpest finding of the review and it cuts against Charm, not for it. NULIFE reads §7.4.1.1.1 as requiring three: "A minimum of 3 samples are taken per HTL production batch, as per the minimum samples per batch requirements in Section 7.4.1.1.1." (p20). Charm reads the same section as one: "Per section 7.4.1.1.1 of the Bio-Oil Geological Storage protocol, a sample is taken for each injection batch" and "one sample will be sent to an analytic lab to measure the carbon content of that batch." The protocol text (v1.0 §7.4.1.1.1, read this session on the registry) says both things, in two places:</w:t>
      </w:r>
    </w:p>
    <w:p>
      <w:pPr>
        <w:ind w:left="720" w:right="432"/>
      </w:pPr>
      <w:r>
        <w:rPr>
          <w:i/>
        </w:rPr>
        <w:t>"A minimum of one sample per Injection Batch (for blended injections) or one per Production Batch (for non-blended injections) of bio-oil must be collected and analyzed. Samples shall be from a well mixed and representative aliquot of the bio-oil as injected, insuring that solids are blended in the sample and representative of the amount in the injectant."</w:t>
      </w:r>
    </w:p>
    <w:p>
      <w:r>
        <w:t>and, under the sub-heading "Minimum number of samples per Batch", which Method A points to ("For the acceptable minimum number of samples to take per sampled Batch, see Minimum number of samples per Batch below. If multiple samples are taken per Batch, the average C content of these samples must be used."):</w:t>
      </w:r>
    </w:p>
    <w:p>
      <w:pPr>
        <w:ind w:left="720" w:right="432"/>
      </w:pPr>
      <w:r>
        <w:rPr>
          <w:i/>
        </w:rPr>
        <w:t>"For all measurements taken, samples must be from a well mixed and representative aliquot of the injectant. To account for the possibility of variation within a single Production Batch (for example within a large container of the injectant), either of the following approaches must be adopted:</w:t>
      </w:r>
    </w:p>
    <w:p>
      <w:pPr>
        <w:ind w:left="720" w:right="432"/>
      </w:pPr>
      <w:r>
        <w:rPr>
          <w:i/>
        </w:rPr>
        <w:t>A minimum of 3 samples must be taken for each measured Production Batch.</w:t>
      </w:r>
    </w:p>
    <w:p>
      <w:pPr>
        <w:ind w:left="720" w:right="432"/>
      </w:pPr>
      <w:r>
        <w:rPr>
          <w:i/>
        </w:rPr>
        <w:t>Justification and evidence must be provided to demonstrate that the "within batch" variation is likely to be minimal. For example, this could be justified due to the physical details of the Production Process used, or alternatively by providing data examining the "within batch" C content variation."</w:t>
      </w:r>
    </w:p>
    <w:p>
      <w:r>
        <w:t xml:space="preserve">The current v1.2 carries the identical wording, renumbered as §8.3.1.1 (verified this session; the v1.1 that Charm's verifier applies to AECN and Charm oil was not opened, so its numbering is not determinable). So one sample is compliant only if Charm has provided the "Justification and evidence… that the 'within batch' variation is likely to be minimal". Whether that justification exists is </w:t>
      </w:r>
      <w:r>
        <w:rPr>
          <w:b/>
        </w:rPr>
        <w:t>not determinable from the sources read</w:t>
      </w:r>
      <w:r>
        <w:t xml:space="preserve">: </w:t>
      </w:r>
      <w:r>
        <w:rPr>
          <w:rFonts w:ascii="Consolas" w:hAnsi="Consolas" w:eastAsia="Consolas"/>
        </w:rPr>
        <w:t>02_charm_pdd_baseline.md</w:t>
      </w:r>
      <w:r>
        <w:t xml:space="preserve"> quotes Charm's sampling text in full and it contains no such justification, and the profile's own "Cannot tell from the text" list does not mention one. Charm's verifier has passed seventeen rounds on this practice ("Meets the requirements of Isometric Standard V1.8 and Bio-oil Geological Storage Protocol v1.2 (Kerry Bio-oil), v1.1 (AECN and Charm Bio-oil) for Verification"), so either the justification was accepted outside the PDD text, or the point has not been raised. </w:t>
      </w:r>
      <w:r>
        <w:rPr>
          <w:b/>
        </w:rPr>
        <w:t>Action:</w:t>
      </w:r>
      <w:r>
        <w:t xml:space="preserve"> find whether a within-batch variation justification was ever filed (sparging and homogenisation-tank mixing are the obvious "physical details of the Production Process"); if not, prepare one before a verifier or Isometric raises it. Register row 1 depends on the same section, so the two should be handled together.</w:t>
      </w:r>
    </w:p>
    <w:p>
      <w:r>
        <w:rPr>
          <w:b/>
        </w:rPr>
        <w:t>Q2 — Is Method B available to Charm under the bio-oil protocol?</w:t>
      </w:r>
      <w:r>
        <w:t xml:space="preserve"> Yes, on the protocol text: "This Protocol provides two alternative methods… the second method (B) involves only sampling some batches, and conservatively estimating the C content of unsampled batches." (v1.0 §7.4.1.1.1; v1.2 §8.3.1.1 identical). The questions that need Isometric are (i) what a "Production Batch" and a "Production Process" are for each of Charm's three oil streams — the protocol's own model (v1.2 §8.1) is "a 'Production Batch', p, which typically consists of utilizing a single type of biomass feedstock, often of a single source of origin"; Charm's PDD defines a monthly "Production Period" for Charm oil ("An example Production Period would be the month of January 2025"), so 30 Production Batches at that grain is 30 months; (ii) how a blended Injection Batch is scored when some constituent Production Batches are unsampled — Method A's route is "a linear weighted combination of the C contents of these Production Batches, as given in Equation 3", Method B's is Equation 5 "mean − standard error" per Production Process; (iii) the random-sampling arrangement: "Isometric will contact the Project Proponent on randomly selected days, at an agreed cadence, which must be no less frequent than once per month, on average" — Great Plains documented exactly this ("Isometric can contact the Great Plains Biomass Facility before 9am MT to request the first three batches that day to be sampled"). The 6-month eligibility window and the restart rule ("If there is a significant change to a Production Process for a feedstock… sampling must be restarted") matter for AECN, whose LCA and process are revised at least annually.</w:t>
      </w:r>
    </w:p>
    <w:p>
      <w:r>
        <w:rPr>
          <w:b/>
        </w:rPr>
        <w:t>Q3 — The v1.11 public / v1.12 internal PDD gap.</w:t>
      </w:r>
      <w:r>
        <w:t xml:space="preserve"> The registry shows "v1.11 – 2025/10/21", metadata "[Without Biochar Appendix]", 149 pages; Drive holds "v1.12 – 2025/12/01", ≥155 pages, with the Boulder Creek feedstock appendix and the biochar appendix added. Whether v1.12 was ever submitted to Isometric, and whether the public copy is deliberately the no-biochar build (the biochar project has its own registry page), is not determinable from the sources read. The verifier's July report applies "Biomass Feedstock Accounting Module v1.3 (Kerry Feedstock)" and the registry Feedstocks table lists "Kerry Inc 1-01 / Biomass / 12 Feb 2026" — Kerry has no appendix in either PDD version, so the public PDD is behind the verified project on at least that point. </w:t>
      </w:r>
      <w:r>
        <w:rPr>
          <w:b/>
        </w:rPr>
        <w:t>Action:</w:t>
      </w:r>
      <w:r>
        <w:t xml:space="preserve"> confirm with Isometric which PDD version is the validated one, and whether a v1.13 with Kerry and the standard-loss rules (sparging 1.29%, filtration 0.071%) should be posted.</w:t>
      </w:r>
    </w:p>
    <w:p>
      <w:r>
        <w:rPr>
          <w:b/>
        </w:rPr>
        <w:t>Q4 — Materiality exclusions.</w:t>
      </w:r>
      <w:r>
        <w:t xml:space="preserve"> Which module section and table format NULIFE used ("Isometric GHG Accounting (V1) Materiality Assessment (Section 4)") and whether it applies under the GHG Accounting Module v1.1 the verifier lists for Kerry — needs the module read. Row 2.</w:t>
      </w:r>
    </w:p>
    <w:p>
      <w:r>
        <w:rPr>
          <w:b/>
        </w:rPr>
        <w:t>Q5 — Embodied amortisation.</w:t>
      </w:r>
      <w:r>
        <w:t xml:space="preserve"> v1.2 §8.5.1 defers to "Section 7 of the GHG Accounting Module"; Charm's FARs ISS-36/ISS-34 are already an open conversation. Whether a one-time pass (TIRE) or a fixed per-tonne factor (Great Plains, which Charm already uses for Kansas) is acceptable for Basco 6 — needs the module read and the FAR outcome. Row 6.</w:t>
      </w:r>
    </w:p>
    <w:p>
      <w:r>
        <w:rPr>
          <w:b/>
        </w:rPr>
        <w:t>Q6 — Transport and embodied module minimums.</w:t>
      </w:r>
      <w:r>
        <w:t xml:space="preserve"> Whether a single factor that "include[s] embodied emissions from truck manufacture" (NULIFE) satisfies the Transportation and Embodied modules Charm is verified under — needs both modules read. Rows 7 and 11.</w:t>
      </w:r>
    </w:p>
    <w:p>
      <w:r>
        <w:rPr>
          <w:b/>
        </w:rPr>
        <w:t>Q7 — Storage module minimums for the Kansas leg.</w:t>
      </w:r>
      <w:r>
        <w:t xml:space="preserve"> Whether Charm's per-batch TAN and density and its written 19-parameter plan exceed the Salt Caverns module, and how Charm should respond to Vaulted's open gas-alarm FARs and exemption at the shared site — needs the module read and a conversation with Vaulted and Isometric. Row 14 and R-GP4.</w:t>
      </w:r>
    </w:p>
    <w:p>
      <w:pPr>
        <w:pStyle w:val="Heading2"/>
      </w:pPr>
      <w:r>
        <w:t>8. Bottom line</w:t>
      </w:r>
    </w:p>
    <w:p>
      <w:pPr>
        <w:pStyle w:val="ListBullet"/>
      </w:pPr>
      <w:r>
        <w:t>Charm is 5th of 33 Validated projects and 2nd of the four geological-storage projects, at 4.9% of all certificates issued — a strong position that none of the opportunities below should put at risk (§1).</w:t>
      </w:r>
    </w:p>
    <w:p>
      <w:pPr>
        <w:pStyle w:val="ListBullet"/>
      </w:pPr>
      <w:r>
        <w:t>Charm's PDD is 1.7–2.3× the length of the peers' by pages; 37% of the internal document (21,785 words) is content peers file outside the PDD or answer by pointer, and the verifier has accepted the pointer form (§3b; rows 4, 5).</w:t>
      </w:r>
    </w:p>
    <w:p>
      <w:pPr>
        <w:pStyle w:val="ListBullet"/>
      </w:pPr>
      <w:r>
        <w:t>The sharpest finding is a possible gap, not a saving: the protocol's "Minimum number of samples per Batch" text requires either 3 samples or a written within-batch-variation justification; Charm takes 1 and no justification is quoted in the inputs. Settle this first (§7 Q1).</w:t>
      </w:r>
    </w:p>
    <w:p>
      <w:pPr>
        <w:pStyle w:val="ListBullet"/>
      </w:pPr>
      <w:r>
        <w:t>Method B (one in ten) is in Charm's own protocol, word for word in v1.0 and v1.2; it needs 30 Production Batches per stream first, an Isometric random-sampling agreement, and a decision on what a Production Batch is for Charm oil (row 1; §7 Q2).</w:t>
      </w:r>
    </w:p>
    <w:p>
      <w:pPr>
        <w:pStyle w:val="ListBullet"/>
      </w:pPr>
      <w:r>
        <w:t>Charm can stop propagating uncertainty on any parameter that fails its own 1% screen — the protocol says so plainly ("Input variables may be omitted from an uncertainty analysis if they contribute to a &lt; 1% change") — and recover part of the discount it takes every month (row 3).</w:t>
      </w:r>
    </w:p>
    <w:p>
      <w:pPr>
        <w:pStyle w:val="ListBullet"/>
      </w:pPr>
      <w:r>
        <w:t>Materiality exclusion of the smallest lines (waste-disposal transport, sample shipping, consumables transport) is how NULIFE runs an emissions load of 3.6% of gross; it needs the GHG Accounting Module read before a PDD change (row 2).</w:t>
      </w:r>
    </w:p>
    <w:p>
      <w:pPr>
        <w:pStyle w:val="ListBullet"/>
      </w:pPr>
      <w:r>
        <w:t>Embodied emissions are already an open item with Charm's verifier (ISS-36/34); Great Plains' fixed per-tonne factors and TIRE's one-time pass are both verified precedents to put on the table (row 6).</w:t>
      </w:r>
    </w:p>
    <w:p>
      <w:pPr>
        <w:pStyle w:val="ListBullet"/>
      </w:pPr>
      <w:r>
        <w:t>Evidence-file count can come down without touching required records: the protocol names scale tickets and lab results as must-keep; sixteen diesel receipts and four copies of one REC certificate per removal are not named (row 10).</w:t>
      </w:r>
    </w:p>
    <w:p>
      <w:pPr>
        <w:pStyle w:val="ListBullet"/>
      </w:pPr>
      <w:r>
        <w:t>Two peer methods that look like savings are not for Charm: calculated injection electricity and producer-side or supplier-side mass (rows 8, 12, 13) — Charm already has the meters and the scale, and the protocol's primary mass route is the one Charm uses.</w:t>
      </w:r>
    </w:p>
    <w:p>
      <w:pPr>
        <w:pStyle w:val="ListBullet"/>
      </w:pPr>
      <w:r>
        <w:t>The shared Hutchinson site carries open verifier findings and an Isometric exemption on gas-alarm investigation under Vaulted's project; Charm's PDD scores the same site zero risk and carries a 5% buffer against Vaulted's 2% (R-GP4; §7 Q7).</w:t>
      </w:r>
    </w:p>
    <w:p>
      <w:pPr>
        <w:pStyle w:val="Heading2"/>
      </w:pPr>
      <w:r>
        <w:t>Source List</w:t>
      </w:r>
    </w:p>
    <w:p>
      <w:r>
        <w:t>All read 2026-09-14.</w:t>
      </w:r>
    </w:p>
    <w:p>
      <w:r>
        <w:rPr>
          <w:b/>
        </w:rPr>
        <w:t>Input files (this folder, `/Users/maxlavine/Desktop/Claude/Skills/MRV Expert/outputs/research/isometric_registry_review_2026-09/`), read in full:</w:t>
      </w:r>
    </w:p>
    <w:p>
      <w:pPr>
        <w:pStyle w:val="ListBullet"/>
      </w:pPr>
      <w:r>
        <w:rPr>
          <w:rFonts w:ascii="Consolas" w:hAnsi="Consolas" w:eastAsia="Consolas"/>
        </w:rPr>
        <w:t>01_registry_census.md</w:t>
      </w:r>
      <w:r>
        <w:t xml:space="preserve"> — registry list, filter counts, ranked table, four geological-storage project blocks and document tables.</w:t>
      </w:r>
    </w:p>
    <w:p>
      <w:pPr>
        <w:pStyle w:val="ListBullet"/>
      </w:pPr>
      <w:r>
        <w:rPr>
          <w:rFonts w:ascii="Consolas" w:hAnsi="Consolas" w:eastAsia="Consolas"/>
        </w:rPr>
        <w:t>02_charm_pdd_baseline.md</w:t>
      </w:r>
      <w:r>
        <w:t xml:space="preserve"> — Charm internal PDD v1.12 profile (Drive file </w:t>
      </w:r>
      <w:r>
        <w:rPr>
          <w:rFonts w:ascii="Consolas" w:hAnsi="Consolas" w:eastAsia="Consolas"/>
        </w:rPr>
        <w:t>1V0v2atno-pVZQZ983EEy9sfmlci4cm_C</w:t>
      </w:r>
      <w:r>
        <w:t>).</w:t>
      </w:r>
    </w:p>
    <w:p>
      <w:pPr>
        <w:pStyle w:val="ListBullet"/>
      </w:pPr>
      <w:r>
        <w:rPr>
          <w:rFonts w:ascii="Consolas" w:hAnsi="Consolas" w:eastAsia="Consolas"/>
        </w:rPr>
        <w:t>06_charm_registry_footprint.md</w:t>
      </w:r>
      <w:r>
        <w:t xml:space="preserve"> — Charm public PDD v1.11, July 2026 GHG Statement Report and Verification Report, GHG entry rmv_1KZBJBN9C1S0M5R5.</w:t>
      </w:r>
    </w:p>
    <w:p>
      <w:pPr>
        <w:pStyle w:val="ListBullet"/>
      </w:pPr>
      <w:r>
        <w:rPr>
          <w:rFonts w:ascii="Consolas" w:hAnsi="Consolas" w:eastAsia="Consolas"/>
        </w:rPr>
        <w:t>03_peer_nulife_ontario_avenue.md</w:t>
      </w:r>
      <w:r>
        <w:t xml:space="preserve"> — NULIFE PDD (87 pp), GHG Statement Report 26 Aug 2026, Verification Report 26 Aug 2026, GHG entry rmv_1M0B59RM61S0BW9G.</w:t>
      </w:r>
    </w:p>
    <w:p>
      <w:pPr>
        <w:pStyle w:val="ListBullet"/>
      </w:pPr>
      <w:r>
        <w:rPr>
          <w:rFonts w:ascii="Consolas" w:hAnsi="Consolas" w:eastAsia="Consolas"/>
        </w:rPr>
        <w:t>04_peer_vaulted_great_plains.md</w:t>
      </w:r>
      <w:r>
        <w:t xml:space="preserve"> — Great Plains PDD v0.8 (83 pp), GHG Statement Report 31 Aug 2026, Verification Report IS.VAU.GP.04 v1.2, GHG entry rmv_1M0ACG4FJ1S02V0A.</w:t>
      </w:r>
    </w:p>
    <w:p>
      <w:pPr>
        <w:pStyle w:val="ListBullet"/>
      </w:pPr>
      <w:r>
        <w:rPr>
          <w:rFonts w:ascii="Consolas" w:hAnsi="Consolas" w:eastAsia="Consolas"/>
        </w:rPr>
        <w:t>05_peer_vaulted_tire.md</w:t>
      </w:r>
      <w:r>
        <w:t xml:space="preserve"> — TIRE PDD (65 pp), GHG Statement Reports RP1/RP2, Validation and Verification Report 17 Jun 2026, Verification Report 01 Sep 2026, GHG entry rmv_1KYD9KRCD1S02J7Q.</w:t>
      </w:r>
    </w:p>
    <w:p>
      <w:r>
        <w:rPr>
          <w:b/>
        </w:rPr>
        <w:t>Underlying documents those files quote (URLs as recorded in them):</w:t>
      </w:r>
    </w:p>
    <w:p>
      <w:pPr>
        <w:pStyle w:val="ListBullet"/>
      </w:pPr>
      <w:r>
        <w:t>Charm public PDD: https://storage.googleapis.com/isometric--production--eu--public-documents/spl_1H31MW3T81S0R67B/prj_1HZSSWBQM1S08H83/pjd_1KAERQ5A11S081G0/pdd.pdf</w:t>
      </w:r>
    </w:p>
    <w:p>
      <w:pPr>
        <w:pStyle w:val="ListBullet"/>
      </w:pPr>
      <w:r>
        <w:t>Charm GHG Statement Report 15 Aug 2026: https://storage.googleapis.com/isometric--production--eu--public-documents/spl_1H31MW3T81S0R67B/prj_1HZSSWBQM1S08H83/pjd_1M02YCEEP1S0AVZB/ghg_statement_report.pdf</w:t>
      </w:r>
    </w:p>
    <w:p>
      <w:pPr>
        <w:pStyle w:val="ListBullet"/>
      </w:pPr>
      <w:r>
        <w:t>Charm Verification Report 15 Aug 2026: https://storage.googleapis.com/isometric--production--eu--public-documents/spl_1H31MW3T81S0R67B/prj_1HZSSWBQM1S08H83/pjd_1M02YD83Z1S0J5PN/verification_report.pdf</w:t>
      </w:r>
    </w:p>
    <w:p>
      <w:pPr>
        <w:pStyle w:val="ListBullet"/>
      </w:pPr>
      <w:r>
        <w:t>NULIFE PDD: https://storage.googleapis.com/isometric--production--eu--public-documents/spl_1JPQG0XPF1S01KTD/prj_1JQEQKCF91S06HAJ/pjd_1K6DV5H3Z1S069JC/pdd.pdf; GHG Statement Report 26 Aug 2026 …/pjd_1M0ZJNP5H1S0JYG1/ghg_statement_report.pdf; Verification Report 26 Aug 2026 …/pjd_1M0ZJPF4D1S01HYN/verification_report.pdf</w:t>
      </w:r>
    </w:p>
    <w:p>
      <w:pPr>
        <w:pStyle w:val="ListBullet"/>
      </w:pPr>
      <w:r>
        <w:t>Vaulted Great Plains PDD: https://storage.googleapis.com/isometric--production--eu--public-documents/spl_1H43SYY631S0Z8YR/prj_1HHYZFVGW1S044ZY/pjd_1K5FAGRQ41S0P42Y/pdd.pdf; GHG Statement Report 31 Aug 2026 …/pjd_1M1BN9E5B1S0EY2R/ghg_statement_report.pdf; Verification Report 31 Aug 2026 …/pjd_1M1BN9TN61S0P7T2/verification_report.pdf</w:t>
      </w:r>
    </w:p>
    <w:p>
      <w:pPr>
        <w:pStyle w:val="ListBullet"/>
      </w:pPr>
      <w:r>
        <w:t>Vaulted TIRE PDD: https://storage.googleapis.com/isometric--production--eu--public-documents/spl_1H43SYY631S0Z8YR/prj_1K7HK8Q4S1S0D4W4/pjd_1KVAA1X881S0Q1CZ/pdd.pdf; GHG Statement Reports …/pjd_1KVBBX6RT1S0A41A/ghg_statement_report.pdf and …/pjd_1M1FC4PRQ1S0HC6Y/ghg_statement_report.pdf; Validation and Verification Report …/pjd_1KVBSZVB01S0XHP2/validation_and_verification_report.pdf; Verification Report …/pjd_1M1FC57011S0RNY8/verification_report.pdf</w:t>
      </w:r>
    </w:p>
    <w:p>
      <w:pPr>
        <w:pStyle w:val="ListBullet"/>
      </w:pPr>
      <w:r>
        <w:t>Registry pages: https://registry.isometric.com/projects; project pages prj_1HZSSWBQM1S08H83, prj_1JQEQKCF91S06HAJ, prj_1HHYZFVGW1S044ZY, prj_1K7HK8Q4S1S0D4W4; GHG entries rmv_1KZBJBN9C1S0M5R5, rmv_1M0B59RM61S0BW9G, rmv_1M0ACG4FJ1S02V0A, rmv_1KYD9KRCD1S02J7Q (calculation-view tabs).</w:t>
      </w:r>
    </w:p>
    <w:p>
      <w:r>
        <w:rPr>
          <w:b/>
        </w:rPr>
        <w:t>Protocol, read this session (headless `playwright` browser, read-only). The protocol is published as a web page; neither version page carries a PDF download link, so the planned PDF download had nothing to fetch and the full page text was saved instead:</w:t>
      </w:r>
    </w:p>
    <w:p>
      <w:pPr>
        <w:pStyle w:val="ListBullet"/>
      </w:pPr>
      <w:r>
        <w:t xml:space="preserve">Isometric "Bio-oil Geological Storage v1.0", https://registry.isometric.com/protocol/bio-oil-geological-storage/1.0 — sections read and quoted: §7.4.1.1 "Measurements - CO2eStored, n", §7.4.1.1.1 "Bio-oil Carbon Content Measurement" (Method A, Method B, "Minimum number of samples per Batch", outlier handling), §7.4.1.1.2 "Measurement of Mass of Bio-oil Injected". Page banner: "There is a more recent version of this protocol - view it for the latest updates. View v1.2 →". Full page text: </w:t>
      </w:r>
      <w:r>
        <w:rPr>
          <w:rFonts w:ascii="Consolas" w:hAnsi="Consolas" w:eastAsia="Consolas"/>
        </w:rPr>
        <w:t>raw/protocol_bio_oil_geological_storage_v1.0_page_text_2026-09-14.txt</w:t>
      </w:r>
      <w:r>
        <w:t>.</w:t>
      </w:r>
    </w:p>
    <w:p>
      <w:pPr>
        <w:pStyle w:val="ListBullet"/>
      </w:pPr>
      <w:r>
        <w:t xml:space="preserve">Isometric "Bio-oil Geological Storage v1.2", https://registry.isometric.com/protocol/bio-oil-geological-storage/1.2 — sections read and quoted: §6.1 Project Design Document, §6.2 Validation and Verification, §6.5 / §6.5.1 Uncertainty, §7.1 System Boundary and GHG Emission Scope (Table 1), §8.1 Calculation Approach and Reporting Period, §8.3.1.1 Bio-oil Carbon Content Measurement (identical wording to v1.0 §7.4.1.1.1), §8.3.1.2 Measurement of Mass of Bio-oil Injected, §8.3.2 Required Records and Documentation, §8.5.1–8.5.5. Full page text: </w:t>
      </w:r>
      <w:r>
        <w:rPr>
          <w:rFonts w:ascii="Consolas" w:hAnsi="Consolas" w:eastAsia="Consolas"/>
        </w:rPr>
        <w:t>raw/protocol_bio_oil_geological_storage_v1.2_page_text_2026-09-14.txt</w:t>
      </w:r>
      <w:r>
        <w:t>.</w:t>
      </w:r>
    </w:p>
    <w:p>
      <w:pPr>
        <w:pStyle w:val="ListBullet"/>
      </w:pPr>
      <w:r>
        <w:t>Not read: Bio-oil Geological Storage v1.1; the Isometric Standard; the GHG Accounting, Transportation Emissions Accounting, Embodied Emissions Accounting, Energy Use Accounting, Biomass Feedstock Accounting, Salt Caverns and Permeable Reservoirs modules. Every "Not determinable" in §6 traces to one of these.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Isometric Registry Review: Charm vs Geological Storage Peers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