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b/>
          <w:sz w:val="24"/>
        </w:rPr>
        <w:t>MEMORANDUM</w:t>
      </w:r>
    </w:p>
    <w:p>
      <w:pPr>
        <w:spacing w:before="0" w:after="120"/>
      </w:pPr>
      <w:r>
        <w:rPr>
          <w:b/>
          <w:sz w:val="22"/>
        </w:rPr>
        <w:t>TO:</w:t>
      </w:r>
      <w:r>
        <w:rPr>
          <w:sz w:val="22"/>
        </w:rPr>
        <w:t xml:space="preserve"> Isometric Protocol Team</w:t>
      </w:r>
    </w:p>
    <w:p>
      <w:pPr>
        <w:spacing w:before="0" w:after="120"/>
      </w:pPr>
      <w:r>
        <w:rPr>
          <w:b/>
          <w:sz w:val="22"/>
        </w:rPr>
        <w:t>FROM:</w:t>
      </w:r>
      <w:r>
        <w:rPr>
          <w:sz w:val="22"/>
        </w:rPr>
        <w:t xml:space="preserve"> Max Lavine, Carbon Protocol and Verification Lead, Charm Industrial</w:t>
      </w:r>
    </w:p>
    <w:p>
      <w:pPr>
        <w:spacing w:before="0" w:after="120"/>
      </w:pPr>
      <w:r>
        <w:rPr>
          <w:b/>
          <w:sz w:val="22"/>
        </w:rPr>
        <w:t>DATE:</w:t>
      </w:r>
      <w:r>
        <w:rPr>
          <w:sz w:val="22"/>
        </w:rPr>
        <w:t xml:space="preserve"> April 03, 2026</w:t>
      </w:r>
    </w:p>
    <w:p>
      <w:pPr>
        <w:spacing w:before="0" w:after="120"/>
      </w:pPr>
      <w:r>
        <w:rPr>
          <w:b/>
          <w:sz w:val="22"/>
        </w:rPr>
        <w:t>RE:</w:t>
      </w:r>
      <w:r>
        <w:rPr>
          <w:sz w:val="22"/>
        </w:rPr>
        <w:t xml:space="preserve"> Energy Use Accounting v1.3 Adoption — Crediting Period Renewal Timeline</w:t>
      </w:r>
    </w:p>
    <w:p>
      <w:pPr>
        <w:pBdr>
          <w:bottom w:val="single" w:sz="12" w:space="1" w:color="000000"/>
        </w:pBdr>
        <w:spacing w:before="240" w:after="240"/>
      </w:pPr>
    </w:p>
    <w:p>
      <w:pPr>
        <w:pStyle w:val="Heading1"/>
      </w:pPr>
      <w:r>
        <w:t>1. Purpose</w:t>
      </w:r>
    </w:p>
    <w:p>
      <w:r>
        <w:t>Charm Industrial respectfully requests clarification from Isometric regarding the timing of Energy Use Accounting v1.3 adoption. Isometric has indicated that Charm must adopt this module version immediately for the current verification cycle at Basco 6. However, Charm believes the v2.0 Standard's protocol adoption rules do not support mid-period adoption requirements for minor version updates. This brief presents Charm's interpretation and requests confirmation of the applicable timeline.</w:t>
      </w:r>
    </w:p>
    <w:p>
      <w:pPr>
        <w:pStyle w:val="Heading1"/>
      </w:pPr>
      <w:r>
        <w:t>2. Charm's Position</w:t>
      </w:r>
    </w:p>
    <w:p>
      <w:r>
        <w:t>Charm's crediting period for bio-oil geological storage at Basco 6 runs from March 1, 2024 through February 28, 2029. Within this cycle, Charm adopts protocol modules (including Energy Use Accounting) upon crediting period renewal, not mid-period. Under Isometric Standard v2.0 Section 2.4.5, both major and minor version changes require adoption only at crediting period renewal. Energy Use Accounting v1.3 is a minor version update. Charm should therefore adopt it at the next crediting period renewal (March 2029), not during the current verification cycle.</w:t>
      </w:r>
    </w:p>
    <w:p>
      <w:pPr>
        <w:pStyle w:val="Heading1"/>
      </w:pPr>
      <w:r>
        <w:t>3. Protocol Text: v2.0 Adoption Rules</w:t>
      </w:r>
    </w:p>
    <w:p>
      <w:r>
        <w:t>Isometric Standard v2.0 introduced substantially relaxed protocol adoption timelines: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Rule</w:t>
            </w:r>
          </w:p>
        </w:tc>
        <w:tc>
          <w:tcPr>
            <w:tcW w:type="dxa" w:w="2880"/>
          </w:tcPr>
          <w:p>
            <w:r>
              <w:t>v1.9 (Superseded)</w:t>
            </w:r>
          </w:p>
        </w:tc>
        <w:tc>
          <w:tcPr>
            <w:tcW w:type="dxa" w:w="2880"/>
          </w:tcPr>
          <w:p>
            <w:r>
              <w:t>v2.0 (Current)</w:t>
            </w:r>
          </w:p>
        </w:tc>
      </w:tr>
      <w:tr>
        <w:tc>
          <w:tcPr>
            <w:tcW w:type="dxa" w:w="2880"/>
          </w:tcPr>
          <w:p>
            <w:r>
              <w:t>Major Versions</w:t>
            </w:r>
          </w:p>
        </w:tc>
        <w:tc>
          <w:tcPr>
            <w:tcW w:type="dxa" w:w="2880"/>
          </w:tcPr>
          <w:p>
            <w:r>
              <w:t>Adopted at crediting period renewal</w:t>
            </w:r>
          </w:p>
        </w:tc>
        <w:tc>
          <w:tcPr>
            <w:tcW w:type="dxa" w:w="2880"/>
          </w:tcPr>
          <w:p>
            <w:r>
              <w:t>Adopted at crediting period renewal</w:t>
            </w:r>
          </w:p>
        </w:tc>
      </w:tr>
      <w:tr>
        <w:tc>
          <w:tcPr>
            <w:tcW w:type="dxa" w:w="2880"/>
          </w:tcPr>
          <w:p>
            <w:r>
              <w:t>Minor Versions</w:t>
            </w:r>
          </w:p>
        </w:tc>
        <w:tc>
          <w:tcPr>
            <w:tcW w:type="dxa" w:w="2880"/>
          </w:tcPr>
          <w:p>
            <w:r>
              <w:t>Adopted within 12-month window</w:t>
            </w:r>
          </w:p>
        </w:tc>
        <w:tc>
          <w:tcPr>
            <w:tcW w:type="dxa" w:w="2880"/>
          </w:tcPr>
          <w:p>
            <w:r>
              <w:t>Adopted at crediting period renewal</w:t>
            </w:r>
          </w:p>
        </w:tc>
      </w:tr>
      <w:tr>
        <w:tc>
          <w:tcPr>
            <w:tcW w:type="dxa" w:w="2880"/>
          </w:tcPr>
          <w:p>
            <w:r>
              <w:t>Patch Versions</w:t>
            </w:r>
          </w:p>
        </w:tc>
        <w:tc>
          <w:tcPr>
            <w:tcW w:type="dxa" w:w="2880"/>
          </w:tcPr>
          <w:p>
            <w:r>
              <w:t>Take effect automatically</w:t>
            </w:r>
          </w:p>
        </w:tc>
        <w:tc>
          <w:tcPr>
            <w:tcW w:type="dxa" w:w="2880"/>
          </w:tcPr>
          <w:p>
            <w:r>
              <w:t>Take effect automatically</w:t>
            </w:r>
          </w:p>
        </w:tc>
      </w:tr>
    </w:tbl>
    <w:p>
      <w:r>
        <w:t>Energy Use Accounting v1.3 is a minor version update (the current linked module is v1.2). Under v2.0 §2.4.5, minor version updates require adoption only upon crediting period renewal. The superseded v1.9 rule—a 12-month forced adoption window—no longer applies.</w:t>
      </w:r>
    </w:p>
    <w:p>
      <w:pPr>
        <w:pStyle w:val="Heading1"/>
      </w:pPr>
      <w:r>
        <w:t>4. Charm's Crediting Period: March 2024 – February 2029</w:t>
      </w:r>
    </w:p>
    <w:p>
      <w:r>
        <w:t>Charm's current crediting period for bio-oil geological storage at Basco 6 is five years, commencing March 1, 2024 (per PDD Section C, dated October 21, 2025). The current verification cycle covers February 1 – March 2, 2026 — well within the established crediting period. There is no crediting period renewal event during the current verification cycle. Adoption of protocol module updates occurs at the next renewal date: March 1, 2029.</w:t>
      </w:r>
    </w:p>
    <w:p>
      <w:pPr>
        <w:pStyle w:val="Heading1"/>
      </w:pPr>
      <w:r>
        <w:t>5. Operational Rationale: Stability and Continuity</w:t>
      </w:r>
    </w:p>
    <w:p>
      <w:r>
        <w:t>The v2.0 adoption rule reflects sound verification practice:</w:t>
      </w:r>
    </w:p>
    <w:p>
      <w:pPr>
        <w:pStyle w:val="ListBullet"/>
      </w:pPr>
      <w:r>
        <w:t>Mid-period protocol adoptions create verification disruption and duplicate calculations. Aligning adoption with natural crediting period renewal cycles reduces operational complexity.</w:t>
      </w:r>
    </w:p>
    <w:p>
      <w:pPr>
        <w:pStyle w:val="ListBullet"/>
      </w:pPr>
      <w:r>
        <w:t>Charm's emission factor set, module selection, and verification methodology are locked to the protocols active at validation. Forcing mid-period changes introduces unnecessary rework.</w:t>
      </w:r>
    </w:p>
    <w:p>
      <w:pPr>
        <w:pStyle w:val="ListBullet"/>
      </w:pPr>
      <w:r>
        <w:t>Energy Use Accounting v1.3 specifies the same underlying calculation methodology as v1.2 (electricity and fuel emissions via CO₂eEnergy = CO₂eElectricity + CO₂eFuel). No material methodological differences require immediate adoption.</w:t>
      </w:r>
    </w:p>
    <w:p>
      <w:pPr>
        <w:pStyle w:val="ListBullet"/>
      </w:pPr>
      <w:r>
        <w:t>The v2.0 Standard explicitly provides legacy exemptions for projects facing 'non-trivial operational difficulty' from mid-period adoption. The existence of this safeguard demonstrates that the intent is not to require mid-period updates.</w:t>
      </w:r>
    </w:p>
    <w:p>
      <w:pPr>
        <w:pStyle w:val="Heading1"/>
      </w:pPr>
      <w:r>
        <w:t>6. Backward Compatibility</w:t>
      </w:r>
    </w:p>
    <w:p>
      <w:r>
        <w:t>Isometric Standard v2.0 Section 2.4.6 explicitly states: 'Projects are not penalized for protocol updates to previously issued credits.' This language confirms that Charm's use of Energy Use Accounting v1.2 for verifications through February 2029 does not create compliance risk. Charm's previously issued credits remain valid.</w:t>
      </w:r>
    </w:p>
    <w:p>
      <w:pPr>
        <w:pStyle w:val="Heading1"/>
      </w:pPr>
      <w:r>
        <w:t>7. Requested Outcome</w:t>
      </w:r>
    </w:p>
    <w:p>
      <w:r>
        <w:t>Charm requests one of the following clarifications from Isometric:</w:t>
      </w:r>
    </w:p>
    <w:p>
      <w:pPr>
        <w:pStyle w:val="ListNumber"/>
      </w:pPr>
      <w:r>
        <w:t>Confirm that Energy Use Accounting v1.3 adoption aligns with Charm's March 2029 crediting period renewal (our primary interpretation), or</w:t>
      </w:r>
    </w:p>
    <w:p>
      <w:pPr>
        <w:pStyle w:val="ListNumber"/>
      </w:pPr>
      <w:r>
        <w:t>If Isometric interprets v2.0 Section 2.4.5 differently, provide the specific provision supporting immediate adoption, and indicate whether Charm qualifies for a legacy exemption under Section 2.4.5.</w:t>
      </w:r>
    </w:p>
    <w:p>
      <w:pPr>
        <w:pStyle w:val="Heading1"/>
      </w:pPr>
      <w:r>
        <w:t>8. Conclusion</w:t>
      </w:r>
    </w:p>
    <w:p>
      <w:r>
        <w:t>Charm values its working relationship with Isometric's protocol team. We believe our interpretation of the v2.0 adoption rules is sound and consistent with the Standard's text and operational intent. We welcome further discussion and are happy to provide any additional documentation or clarification. We propose working toward a resolution that honors both Isometric's verification requirements and the protocol framework's own timeline provisions.</w:t>
      </w:r>
    </w:p>
    <w:p>
      <w:pPr>
        <w:spacing w:before="480"/>
      </w:pPr>
      <w:r>
        <w:rPr>
          <w:b/>
        </w:rPr>
        <w:t>Max Lavine</w:t>
        <w:br/>
      </w:r>
      <w:r>
        <w:t>Carbon Protocol and Verification Lead</w:t>
        <w:br/>
        <w:t>Charm Industrial</w:t>
        <w:br/>
      </w:r>
      <w:r>
        <w:rPr>
          <w:color w:val="0000FF"/>
        </w:rPr>
        <w:t>max@charmindustrial.com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