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CHARM INDUSTRIAL</w:t>
      </w:r>
    </w:p>
    <w:p>
      <w:pPr>
        <w:jc w:val="center"/>
      </w:pPr>
      <w:r>
        <w:rPr>
          <w:sz w:val="20"/>
        </w:rPr>
        <w:t>Carbon Protocol &amp; Verification</w:t>
      </w:r>
    </w:p>
    <w:p>
      <w:pPr>
        <w:jc w:val="center"/>
        <w:pBdr>
          <w:bottom w:val="single" w:sz="12" w:space="1" w:color="000000"/>
        </w:pBdr>
      </w:pPr>
      <w:r>
        <w:rPr>
          <w:b/>
          <w:sz w:val="22"/>
        </w:rPr>
        <w:t>M E M O R A N D U M</w:t>
      </w:r>
    </w:p>
    <w:p/>
    <w:tbl>
      <w:tblPr>
        <w:tblW w:type="auto" w:w="0"/>
        <w:tblLayout w:type="fixed"/>
        <w:tblLook w:firstColumn="1" w:firstRow="1" w:lastColumn="0" w:lastRow="0" w:noHBand="0" w:noVBand="1" w:val="04A0"/>
      </w:tblPr>
      <w:tblGrid>
        <w:gridCol w:w="4320"/>
        <w:gridCol w:w="4320"/>
      </w:tblGrid>
      <w:tr>
        <w:tc>
          <w:tcPr>
            <w:tcW w:type="dxa" w:w="1728"/>
            <w:tcBorders>
              <w:top w:val="none"/>
              <w:left w:val="none"/>
              <w:bottom w:val="none"/>
              <w:right w:val="none"/>
              <w:insideH w:val="none"/>
              <w:insideV w:val="none"/>
            </w:tcBorders>
          </w:tcPr>
          <w:p>
            <w:r>
              <w:t>TO:</w:t>
            </w:r>
          </w:p>
        </w:tc>
        <w:tc>
          <w:tcPr>
            <w:tcW w:type="dxa" w:w="1728"/>
            <w:tcBorders>
              <w:top w:val="none"/>
              <w:left w:val="none"/>
              <w:bottom w:val="none"/>
              <w:right w:val="none"/>
              <w:insideH w:val="none"/>
              <w:insideV w:val="none"/>
            </w:tcBorders>
          </w:tcPr>
          <w:p>
            <w:r>
              <w:t>Isometric Protocol Team</w:t>
            </w:r>
          </w:p>
        </w:tc>
      </w:tr>
      <w:tr>
        <w:tc>
          <w:tcPr>
            <w:tcW w:type="dxa" w:w="1728"/>
            <w:tcBorders>
              <w:top w:val="none"/>
              <w:left w:val="none"/>
              <w:bottom w:val="none"/>
              <w:right w:val="none"/>
              <w:insideH w:val="none"/>
              <w:insideV w:val="none"/>
            </w:tcBorders>
          </w:tcPr>
          <w:p>
            <w:r>
              <w:t>FROM:</w:t>
            </w:r>
          </w:p>
        </w:tc>
        <w:tc>
          <w:tcPr>
            <w:tcW w:type="dxa" w:w="1728"/>
            <w:tcBorders>
              <w:top w:val="none"/>
              <w:left w:val="none"/>
              <w:bottom w:val="none"/>
              <w:right w:val="none"/>
              <w:insideH w:val="none"/>
              <w:insideV w:val="none"/>
            </w:tcBorders>
          </w:tcPr>
          <w:p>
            <w:r>
              <w:t>Max Lavine, Carbon Protocol &amp; Verification Lead, Charm Industrial</w:t>
            </w:r>
          </w:p>
        </w:tc>
      </w:tr>
      <w:tr>
        <w:tc>
          <w:tcPr>
            <w:tcW w:type="dxa" w:w="1728"/>
            <w:tcBorders>
              <w:top w:val="none"/>
              <w:left w:val="none"/>
              <w:bottom w:val="none"/>
              <w:right w:val="none"/>
              <w:insideH w:val="none"/>
              <w:insideV w:val="none"/>
            </w:tcBorders>
          </w:tcPr>
          <w:p>
            <w:r>
              <w:t>DATE:</w:t>
            </w:r>
          </w:p>
        </w:tc>
        <w:tc>
          <w:tcPr>
            <w:tcW w:type="dxa" w:w="1728"/>
            <w:tcBorders>
              <w:top w:val="none"/>
              <w:left w:val="none"/>
              <w:bottom w:val="none"/>
              <w:right w:val="none"/>
              <w:insideH w:val="none"/>
              <w:insideV w:val="none"/>
            </w:tcBorders>
          </w:tcPr>
          <w:p>
            <w:r>
              <w:t>April 3, 2026</w:t>
            </w:r>
          </w:p>
        </w:tc>
      </w:tr>
      <w:tr>
        <w:tc>
          <w:tcPr>
            <w:tcW w:type="dxa" w:w="1728"/>
            <w:tcBorders>
              <w:top w:val="none"/>
              <w:left w:val="none"/>
              <w:bottom w:val="none"/>
              <w:right w:val="none"/>
              <w:insideH w:val="none"/>
              <w:insideV w:val="none"/>
            </w:tcBorders>
          </w:tcPr>
          <w:p>
            <w:r>
              <w:t>RE:</w:t>
            </w:r>
          </w:p>
        </w:tc>
        <w:tc>
          <w:tcPr>
            <w:tcW w:type="dxa" w:w="1728"/>
            <w:tcBorders>
              <w:top w:val="none"/>
              <w:left w:val="none"/>
              <w:bottom w:val="none"/>
              <w:right w:val="none"/>
              <w:insideH w:val="none"/>
              <w:insideV w:val="none"/>
            </w:tcBorders>
          </w:tcPr>
          <w:p>
            <w:r>
              <w:t>Energy Use Accounting v1.3 Adoption Timeline – Basco 6 Verification</w:t>
            </w:r>
          </w:p>
        </w:tc>
      </w:tr>
      <w:tr>
        <w:tc>
          <w:tcPr>
            <w:tcW w:type="dxa" w:w="1728"/>
            <w:tcBorders>
              <w:top w:val="none"/>
              <w:left w:val="none"/>
              <w:bottom w:val="none"/>
              <w:right w:val="none"/>
              <w:insideH w:val="none"/>
              <w:insideV w:val="none"/>
            </w:tcBorders>
          </w:tcPr>
          <w:p>
            <w:r>
              <w:t>PROJECT:</w:t>
            </w:r>
          </w:p>
        </w:tc>
        <w:tc>
          <w:tcPr>
            <w:tcW w:type="dxa" w:w="1728"/>
            <w:tcBorders>
              <w:top w:val="none"/>
              <w:left w:val="none"/>
              <w:bottom w:val="none"/>
              <w:right w:val="none"/>
              <w:insideH w:val="none"/>
              <w:insideV w:val="none"/>
            </w:tcBorders>
          </w:tcPr>
          <w:p>
            <w:r>
              <w:t>Charm Bio-oil Geological Storage (350Solutions VVB)</w:t>
            </w:r>
          </w:p>
        </w:tc>
      </w:tr>
    </w:tbl>
    <w:p/>
    <w:p>
      <w:r>
        <w:rPr>
          <w:b/>
        </w:rPr>
        <w:t>ISSUE</w:t>
      </w:r>
      <w:r>
        <w:br/>
        <w:t>Isometric recently communicated that Charm must adopt Energy Use Accounting v1.3 immediately for the ongoing verification cycle at Basco 6, requiring amendment to our current monitoring plan and submission timeline. We respectfully contest this requirement based on the explicit protocol adoption timelines in Isometric Standard v2.0.</w:t>
      </w:r>
    </w:p>
    <w:p/>
    <w:p>
      <w:r>
        <w:rPr>
          <w:b/>
        </w:rPr>
        <w:t>POSITION</w:t>
      </w:r>
    </w:p>
    <w:p>
      <w:pPr>
        <w:pStyle w:val="ListBullet"/>
        <w:ind w:left="720"/>
      </w:pPr>
      <w:r>
        <w:t>Under Isometric Standard v2.0 §2.4.5, adoption of major and minor protocol version changes is required only upon crediting period renewal, not mid-cycle. Energy Use Accounting v1.3 is a minor version update within an active crediting period. Charm should not be required to adopt until the next renewal date.</w:t>
      </w:r>
    </w:p>
    <w:p/>
    <w:p>
      <w:r>
        <w:rPr>
          <w:b/>
        </w:rPr>
        <w:t>REGULATORY BASIS</w:t>
      </w:r>
    </w:p>
    <w:p>
      <w:pPr>
        <w:pStyle w:val="ListBullet"/>
        <w:spacing w:after="120"/>
        <w:ind w:left="720"/>
      </w:pPr>
      <w:r>
        <w:t>Isometric Standard v2.0, Section 2.4.5 (Protocol Adoption Requirements): "Both major AND minor version changes now require adoption only upon crediting period renewal. Patch changes take effect automatically."</w:t>
      </w:r>
    </w:p>
    <w:p>
      <w:pPr>
        <w:pStyle w:val="ListBullet"/>
        <w:spacing w:after="120"/>
        <w:ind w:left="720"/>
      </w:pPr>
      <w:r>
        <w:t>This represents an intentional relaxation from the v1.9 rule, which required minor version adoption within a 12-month window. The v2.0 change explicitly extends minor version adoption timelines to align with crediting period renewal cycles.</w:t>
      </w:r>
    </w:p>
    <w:p>
      <w:pPr>
        <w:pStyle w:val="ListBullet"/>
        <w:ind w:left="720"/>
      </w:pPr>
      <w:r>
        <w:t>Charm's current crediting period extends beyond the current verification cycle. No crediting period renewal is scheduled for Basco 6 at this time.</w:t>
      </w:r>
    </w:p>
    <w:p/>
    <w:p>
      <w:r>
        <w:rPr>
          <w:b/>
        </w:rPr>
        <w:t>OPERATIONAL IMPACT</w:t>
      </w:r>
    </w:p>
    <w:p>
      <w:pPr>
        <w:pStyle w:val="ListBullet"/>
        <w:ind w:left="720"/>
      </w:pPr>
      <w:r>
        <w:t>Requiring Energy Use Accounting v1.3 adoption mid-cycle creates material operational disruption:</w:t>
      </w:r>
    </w:p>
    <w:p>
      <w:pPr>
        <w:pStyle w:val="ListBullet2"/>
        <w:ind w:left="1440"/>
      </w:pPr>
      <w:r>
        <w:t>Modification of existing monitoring procedures and data collection protocols already validated for this crediting period</w:t>
      </w:r>
    </w:p>
    <w:p>
      <w:pPr>
        <w:pStyle w:val="ListBullet2"/>
        <w:ind w:left="1440"/>
      </w:pPr>
      <w:r>
        <w:t>Delay to ongoing verification submissions and approval timelines</w:t>
      </w:r>
    </w:p>
    <w:p>
      <w:pPr>
        <w:pStyle w:val="ListBullet2"/>
        <w:ind w:left="1440"/>
      </w:pPr>
      <w:r>
        <w:t>Re-training and re-validation of data collection procedures with 350Solutions and facility operators</w:t>
      </w:r>
    </w:p>
    <w:p>
      <w:pPr>
        <w:pStyle w:val="ListBullet2"/>
        <w:ind w:left="1440"/>
      </w:pPr>
      <w:r>
        <w:t>Potential inconsistency across earlier verifications in the same crediting period using prior protocol version</w:t>
      </w:r>
    </w:p>
    <w:p/>
    <w:p>
      <w:r>
        <w:rPr>
          <w:b/>
        </w:rPr>
        <w:t>PROPOSED RESOLUTION</w:t>
      </w:r>
    </w:p>
    <w:p>
      <w:r>
        <w:t>We propose the following path forward that respects both Isometric's confidence in Energy Use Accounting v1.3 and the regulatory framework established in v2.0:</w:t>
      </w:r>
    </w:p>
    <w:p>
      <w:pPr>
        <w:pStyle w:val="ListNumber"/>
        <w:spacing w:after="160"/>
        <w:ind w:left="720"/>
      </w:pPr>
      <w:r>
        <w:t>Maintain Energy Use Accounting v1.2 for all Basco 6 verifications in the current crediting period, with formal adoption of v1.3 scheduled for the next crediting period renewal. This is fully compliant with Isometric Standard v2.0 and maintains consistency with prior submissions.</w:t>
      </w:r>
    </w:p>
    <w:p>
      <w:pPr>
        <w:pStyle w:val="ListNumber"/>
        <w:ind w:left="720"/>
      </w:pPr>
      <w:r>
        <w:t>Alternatively, if Isometric determines that Energy Use Accounting v1.3 is operationally necessary for Charm (e.g., substantive changes to emission factor calculations affecting accuracy), Charm can request a "legacy exemption" under v2.0 §2.4.5 citing the non-trivial operational difficulty of mid-cycle adoption. Charm would provide documentation of specific impacts to support this request.</w:t>
      </w:r>
    </w:p>
    <w:p/>
    <w:p>
      <w:r>
        <w:rPr>
          <w:b/>
        </w:rPr>
        <w:t>CLOSING STATEMENT</w:t>
      </w:r>
    </w:p>
    <w:p>
      <w:r>
        <w:t>Charm values our collaboration with Isometric's protocol team and recognizes your commitment to rigorous MRV standards. This request reflects an honest interpretation of v2.0's explicit adoption timeline rules, not a resistance to protocol improvements. We remain committed to adopting Energy Use Accounting v1.3 when the regulatory framework and our crediting period align, and we welcome discussion if Isometric sees material technical reasons why immediate adoption is necessary despite the standard's language.</w:t>
      </w:r>
    </w:p>
    <w:p/>
    <w:p>
      <w:r>
        <w:t>Max Lavine</w:t>
        <w:br/>
        <w:t>Carbon Protocol &amp; Verification Lead</w:t>
        <w:br/>
        <w:t>Charm Industrial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