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Guidance Request: Eligible Forest Biomass Evidence Requirements for</w:t>
      </w:r>
    </w:p>
    <w:p>
      <w:pPr>
        <w:jc w:val="center"/>
      </w:pPr>
      <w:r>
        <w:rPr>
          <w:b/>
          <w:sz w:val="24"/>
        </w:rPr>
        <w:t>Private Fuels Reduction Projects in Oregon</w:t>
      </w:r>
    </w:p>
    <w:p>
      <w:pPr>
        <w:jc w:val="center"/>
      </w:pPr>
      <w:r>
        <w:rPr>
          <w:i/>
          <w:sz w:val="22"/>
        </w:rPr>
        <w:t>Biomass Feedstock Accounting Module v1.3 — Sustainability Criteria &amp; Counterfactual Storage</w:t>
      </w:r>
    </w:p>
    <w:p/>
    <w:p>
      <w:pPr>
        <w:ind w:left="0"/>
      </w:pPr>
      <w:r>
        <w:rPr>
          <w:b/>
          <w:sz w:val="22"/>
        </w:rPr>
        <w:t>From:</w:t>
      </w:r>
      <w:r>
        <w:rPr>
          <w:sz w:val="22"/>
        </w:rPr>
        <w:t xml:space="preserve"> Max Lavine, Carbon Protocol and Verification Lead, Charm Industrial</w:t>
      </w:r>
    </w:p>
    <w:p>
      <w:pPr>
        <w:ind w:left="0"/>
      </w:pPr>
      <w:r>
        <w:rPr>
          <w:b/>
          <w:sz w:val="22"/>
        </w:rPr>
        <w:t>To:</w:t>
      </w:r>
      <w:r>
        <w:rPr>
          <w:sz w:val="22"/>
        </w:rPr>
        <w:t xml:space="preserve"> Isometric Science Team</w:t>
      </w:r>
    </w:p>
    <w:p>
      <w:pPr>
        <w:ind w:left="0"/>
      </w:pPr>
      <w:r>
        <w:rPr>
          <w:b/>
          <w:sz w:val="22"/>
        </w:rPr>
        <w:t>Date:</w:t>
      </w:r>
      <w:r>
        <w:rPr>
          <w:sz w:val="22"/>
        </w:rPr>
        <w:t xml:space="preserve"> April 2026</w:t>
      </w:r>
    </w:p>
    <w:p>
      <w:pPr>
        <w:ind w:left="0"/>
      </w:pPr>
      <w:r>
        <w:rPr>
          <w:b/>
          <w:sz w:val="22"/>
        </w:rPr>
        <w:t>Re:</w:t>
      </w:r>
      <w:r>
        <w:rPr>
          <w:sz w:val="22"/>
        </w:rPr>
        <w:t xml:space="preserve"> Proposed flexibility for demonstrating feedstock eligibility when sourcing forest biomass from private-land fuels reduction projects in Oregon</w:t>
      </w:r>
    </w:p>
    <w:p/>
    <w:p>
      <w:pPr>
        <w:pStyle w:val="Heading1"/>
        <w:spacing w:before="240" w:after="120"/>
      </w:pPr>
      <w:r>
        <w:t>1. Purpose</w:t>
      </w:r>
    </w:p>
    <w:p>
      <w:pPr>
        <w:spacing w:line="276" w:lineRule="auto"/>
      </w:pPr>
      <w:r>
        <w:t>Charm is developing feedstock sourcing relationships with forest biomass suppliers in Oregon whose operations center on fuels reduction and wildfire risk mitigation on private timberlands. As we work to bring these feedstock streams into compliance with the Biomass Feedstock Accounting Module v1.3, we have identified an opportunity to clarify and extend the module's evidence framework for private-land fuels reduction that is not enrolled in formal government programs. Oregon's regulatory structure for private forestry—unlike Colorado's, which relies heavily on state cost-share grant programs—emphasizes professional forester oversight and state Forest Practices Act compliance. This memo explains how Oregon's regulatory framework provides equivalent assurance to government program enrollment, proposes an evidence pathway that reflects this reality, and requests Isometric's guidance on recognizing this alternative route to feedstock eligibility.</w:t>
      </w:r>
    </w:p>
    <w:p/>
    <w:p>
      <w:pPr>
        <w:pStyle w:val="Heading1"/>
        <w:spacing w:before="240" w:after="120"/>
      </w:pPr>
      <w:r>
        <w:t>2. Oregon's Regulatory Framework for Private Fuels Reduction</w:t>
      </w:r>
    </w:p>
    <w:p>
      <w:pPr>
        <w:spacing w:line="276" w:lineRule="auto"/>
      </w:pPr>
      <w:r>
        <w:t>Unlike many Western states, Oregon's approach to private-land forest management emphasizes professional forester oversight and state regulatory compliance rather than categorical government grant programs. Understanding this framework is essential to evaluating the evidence pathways available to Charm.</w:t>
      </w:r>
    </w:p>
    <w:p>
      <w:pPr>
        <w:pStyle w:val="Heading2"/>
        <w:spacing w:before="200" w:after="120"/>
      </w:pPr>
      <w:r>
        <w:t>2.1 Oregon Forest Practices Act and Notification of Operations</w:t>
      </w:r>
    </w:p>
    <w:p>
      <w:pPr>
        <w:spacing w:line="276" w:lineRule="auto"/>
      </w:pPr>
      <w:r>
        <w:t>Oregon Revised Statutes Chapter 527 (the Oregon Forest Practices Act, ORS 527.610-527.992) governs commercial forest operations on private land. Unlike states with designated grant-funded fuels reduction programs, Oregon uses a Notification of Operations (NOO) system administered by the Oregon Department of Forestry (ODF). Under ORS 527.630, operators conducting forest operations (which includes stand density reduction, thinning, and fuels reduction) must provide advance notice to ODF, specify the treatment area, and describe the planned operation. ODF reviews the notification for compliance with Forest Practices Rules and may impose conditions. This system provides:</w:t>
      </w:r>
    </w:p>
    <w:p>
      <w:pPr>
        <w:pStyle w:val="ListBullet"/>
        <w:spacing w:line="276" w:lineRule="auto"/>
      </w:pPr>
      <w:r>
        <w:t>State regulatory oversight: ODF reviews and approves each operation, including harvest prescription details</w:t>
      </w:r>
    </w:p>
    <w:p>
      <w:pPr>
        <w:pStyle w:val="ListBullet"/>
        <w:spacing w:line="276" w:lineRule="auto"/>
      </w:pPr>
      <w:r>
        <w:t>Environmental compliance: Operations must comply with Oregon Administrative Rules (OAR) Chapter 629-625, including water protection, wildlife habitat, and slash disposal standards</w:t>
      </w:r>
    </w:p>
    <w:p>
      <w:pPr>
        <w:pStyle w:val="ListBullet"/>
        <w:spacing w:line="276" w:lineRule="auto"/>
      </w:pPr>
      <w:r>
        <w:t>Professional accountability: Most commercial forest operations are prescribed and supervised by Licensed Foresters, ensuring silvicultural appropriateness</w:t>
      </w:r>
    </w:p>
    <w:p>
      <w:pPr>
        <w:pStyle w:val="ListBullet"/>
        <w:spacing w:line="276" w:lineRule="auto"/>
      </w:pPr>
      <w:r>
        <w:t>Documentation: NOO filings create a regulatory record linking treatment units, prescriptions, and disposal methods</w:t>
      </w:r>
    </w:p>
    <w:p/>
    <w:p>
      <w:pPr>
        <w:pStyle w:val="Heading2"/>
        <w:spacing w:before="200" w:after="120"/>
      </w:pPr>
      <w:r>
        <w:t>2.2 Licensed Forester Oversight and Professional Standards</w:t>
      </w:r>
    </w:p>
    <w:p>
      <w:pPr>
        <w:spacing w:line="276" w:lineRule="auto"/>
      </w:pPr>
      <w:r>
        <w:t>Oregon Revised Statutes Chapter 676 (ORS 676.600-676.999) establishes licensing and ethical standards for Licensed Foresters. Licensed Foresters in Oregon are required to:</w:t>
      </w:r>
    </w:p>
    <w:p>
      <w:pPr>
        <w:pStyle w:val="ListBullet"/>
        <w:spacing w:line="276" w:lineRule="auto"/>
      </w:pPr>
      <w:r>
        <w:t>Hold a professional license issued by the State Board of Forestry (requiring at least 4 years of professional experience and passing a comprehensive examination)</w:t>
      </w:r>
    </w:p>
    <w:p>
      <w:pPr>
        <w:pStyle w:val="ListBullet"/>
        <w:spacing w:line="276" w:lineRule="auto"/>
      </w:pPr>
      <w:r>
        <w:t>Follow a Code of Professional Conduct (OAR 629-600-020) emphasizing competence, integrity, and compliance with environmental law</w:t>
      </w:r>
    </w:p>
    <w:p>
      <w:pPr>
        <w:pStyle w:val="ListBullet"/>
        <w:spacing w:line="276" w:lineRule="auto"/>
      </w:pPr>
      <w:r>
        <w:t>Document silvicultural prescriptions that specify treatment objectives, stand conditions, and expected outcomes</w:t>
      </w:r>
    </w:p>
    <w:p>
      <w:pPr>
        <w:pStyle w:val="ListBullet"/>
        <w:spacing w:line="276" w:lineRule="auto"/>
      </w:pPr>
      <w:r>
        <w:t>Maintain professional liability insurance for work performed</w:t>
      </w:r>
    </w:p>
    <w:p>
      <w:pPr>
        <w:pStyle w:val="ListBullet"/>
        <w:spacing w:line="276" w:lineRule="auto"/>
      </w:pPr>
      <w:r>
        <w:t>Accept professional accountability for recommendations and prescriptions</w:t>
      </w:r>
    </w:p>
    <w:p>
      <w:pPr>
        <w:spacing w:line="276" w:lineRule="auto"/>
      </w:pPr>
      <w:r>
        <w:t>In effect, Oregon's Licensed Forester system serves an analogous oversight function to government program enrollment: it ensures that fuels reduction treatments are prescribed by qualified professionals, documented in binding prescriptions, approved by state regulatory authority, and subject to ongoing professional accountability. The key difference from states like Colorado is institutional channel, not environmental rigor.</w:t>
      </w:r>
    </w:p>
    <w:p/>
    <w:p>
      <w:pPr>
        <w:pStyle w:val="Heading2"/>
        <w:spacing w:before="200" w:after="120"/>
      </w:pPr>
      <w:r>
        <w:t>2.3 Wildfire Risk Mapping and Policy Context</w:t>
      </w:r>
    </w:p>
    <w:p>
      <w:pPr>
        <w:spacing w:line="276" w:lineRule="auto"/>
      </w:pPr>
      <w:r>
        <w:t>Oregon has invested in statewide wildfire risk mapping through the Oregon Wildfire Risk Explorer (OWRE), a GIS tool that classifies forest areas by wildfire hazard severity (low, moderate, high, very high) based on forest characteristics, weather patterns, and topography. Private landowners targeting fuels reduction in high and very high hazard zones are acting within a state-endorsed policy framework aimed at wildfire risk mitigation. This mapping, combined with professional forester prescriptions and ODF oversight, creates a clear regulatory context for distinguishing genuine fuels reduction from commercial overharvest.</w:t>
      </w:r>
    </w:p>
    <w:p/>
    <w:p>
      <w:pPr>
        <w:pStyle w:val="Heading1"/>
        <w:spacing w:before="240" w:after="120"/>
      </w:pPr>
      <w:r>
        <w:t>3. How Oregon's Framework Aligns with Module Intent</w:t>
      </w:r>
    </w:p>
    <w:p>
      <w:pPr>
        <w:spacing w:line="276" w:lineRule="auto"/>
      </w:pPr>
      <w:r>
        <w:t>The Biomass Feedstock Accounting Module v1.3 Section 2.1 (Government Wildfire Program Exemption) states that biomass sourced through a government mandated, managed or otherwise supported wildfire mitigation program is exempt from key sustainability criteria (SC1.2 carbon stock assessment, SC1.3 primary forest restriction) and receives zero counterfactual storage (CC2) designation. The module's intent is clear: biomass from genuinely government-authorized fuels reduction should be creditable without the full evidence burden of non-government forestry.</w:t>
      </w:r>
    </w:p>
    <w:p>
      <w:pPr>
        <w:spacing w:line="276" w:lineRule="auto"/>
      </w:pPr>
      <w:r>
        <w:t>Oregon's Notification of Operations system, combined with Licensed Forester prescriptions and state wildfire risk mapping, meets the spirit of this provision. The state regulatory framework provides:</w:t>
      </w:r>
    </w:p>
    <w:p>
      <w:pPr>
        <w:pStyle w:val="ListBullet"/>
        <w:spacing w:line="276" w:lineRule="auto"/>
      </w:pPr>
      <w:r>
        <w:t>Government oversight: ODF review and approval of each operation</w:t>
      </w:r>
    </w:p>
    <w:p>
      <w:pPr>
        <w:pStyle w:val="ListBullet"/>
        <w:spacing w:line="276" w:lineRule="auto"/>
      </w:pPr>
      <w:r>
        <w:t>Explicit policy support: State-endorsed wildfire risk reduction mapped in OWRE</w:t>
      </w:r>
    </w:p>
    <w:p>
      <w:pPr>
        <w:pStyle w:val="ListBullet"/>
        <w:spacing w:line="276" w:lineRule="auto"/>
      </w:pPr>
      <w:r>
        <w:t>Professional management: Licensed Forester prescriptions and accountability</w:t>
      </w:r>
    </w:p>
    <w:p>
      <w:pPr>
        <w:pStyle w:val="ListBullet"/>
        <w:spacing w:line="276" w:lineRule="auto"/>
      </w:pPr>
      <w:r>
        <w:t>Environmental compliance: Mandatory adherence to Oregon Forest Practices Rules</w:t>
      </w:r>
    </w:p>
    <w:p>
      <w:pPr>
        <w:pStyle w:val="ListBullet"/>
        <w:spacing w:line="276" w:lineRule="auto"/>
      </w:pPr>
      <w:r>
        <w:t>Documentation: NOO filings and professional prescriptions create regulatory record</w:t>
      </w:r>
    </w:p>
    <w:p>
      <w:pPr>
        <w:spacing w:line="276" w:lineRule="auto"/>
      </w:pPr>
      <w:r>
        <w:t>This framework does not depend on categorical program enrollment (like Colorado's state cost-share grants) but achieves equivalent assurance through state-mandated professional oversight and regulatory compliance. Extending the module's exemptions to Oregon's system does not weaken the criteria—it recognizes a different but equally rigorous regulatory pathway to the same environmental outcome.</w:t>
      </w:r>
    </w:p>
    <w:p/>
    <w:p>
      <w:pPr>
        <w:pStyle w:val="Heading1"/>
        <w:spacing w:before="240" w:after="120"/>
      </w:pPr>
      <w:r>
        <w:t>4. Proposed Evidence Framework for Oregon Private Fuels Reduction</w:t>
      </w:r>
    </w:p>
    <w:p>
      <w:pPr>
        <w:spacing w:line="276" w:lineRule="auto"/>
      </w:pPr>
      <w:r>
        <w:t>Charm proposes the following evidence pathway for feedstock sourced from private-land fuels reduction in Oregon:</w:t>
      </w:r>
    </w:p>
    <w:p>
      <w:pPr>
        <w:pStyle w:val="Heading2"/>
        <w:spacing w:before="200" w:after="120"/>
      </w:pPr>
      <w:r>
        <w:t>4.1 SC1.1 Alternative (Certification/Risk Assessment Exemption)</w:t>
      </w:r>
    </w:p>
    <w:p>
      <w:pPr>
        <w:spacing w:line="276" w:lineRule="auto"/>
      </w:pPr>
      <w:r>
        <w:t>For feedstock sourced from fuels reduction treatments prescribed by a Licensed Forester and approved under the Oregon Forest Practices Act (via Notification of Operations), Charm proposes that SC1.1's requirement for FSC/PEFC/SFI certification or independent risk assessment be waived, conditional on:</w:t>
      </w:r>
    </w:p>
    <w:p>
      <w:pPr>
        <w:pStyle w:val="ListBullet"/>
        <w:spacing w:line="276" w:lineRule="auto"/>
      </w:pPr>
      <w:r>
        <w:t>Oregon Notification of Operations filing (ORS 527.630) confirming state regulatory approval of the treatment</w:t>
      </w:r>
    </w:p>
    <w:p>
      <w:pPr>
        <w:pStyle w:val="ListBullet"/>
        <w:spacing w:line="276" w:lineRule="auto"/>
      </w:pPr>
      <w:r>
        <w:t>Licensed Forester prescription documenting silvicultural objectives, stand conditions, and treatment parameters</w:t>
      </w:r>
    </w:p>
    <w:p>
      <w:pPr>
        <w:pStyle w:val="ListBullet"/>
        <w:spacing w:line="276" w:lineRule="auto"/>
      </w:pPr>
      <w:r>
        <w:t>Explicit statement in the prescription identifying stand density reduction, defensible space creation, or fuels reduction as a primary objective</w:t>
      </w:r>
    </w:p>
    <w:p>
      <w:pPr>
        <w:pStyle w:val="ListBullet"/>
        <w:spacing w:line="276" w:lineRule="auto"/>
      </w:pPr>
      <w:r>
        <w:t>Treatment location within a mapped high or very high wildfire hazard zone per Oregon Wildfire Risk Explorer</w:t>
      </w:r>
    </w:p>
    <w:p>
      <w:pPr>
        <w:spacing w:line="276" w:lineRule="auto"/>
      </w:pPr>
      <w:r>
        <w:rPr>
          <w:i/>
        </w:rPr>
        <w:t>Rationale: Oregon's Licensed Forester licensing, oversight, and professional accountability system, combined with ODF regulatory review, provides equivalent assurance to global forest certification. Requiring FSC or PEFC on top of state regulatory compliance adds cost without adding integrity. The Licensed Forester system is the actual accountability framework for private forestry in Oregon.</w:t>
      </w:r>
    </w:p>
    <w:p/>
    <w:p>
      <w:pPr>
        <w:pStyle w:val="Heading2"/>
        <w:spacing w:before="200" w:after="120"/>
      </w:pPr>
      <w:r>
        <w:t>4.2 SC1.2 Alternative (Forest Carbon Stocks Exemption)</w:t>
      </w:r>
    </w:p>
    <w:p>
      <w:pPr>
        <w:spacing w:line="276" w:lineRule="auto"/>
      </w:pPr>
      <w:r>
        <w:t>For feedstock sourced from fuels reduction treatments meeting the SC1.1 criteria above, Charm proposes extension of the government wildfire program exemption from SC1.2's 5-year forest carbon stock assessment requirement. The conditions are:</w:t>
      </w:r>
    </w:p>
    <w:p>
      <w:pPr>
        <w:pStyle w:val="ListBullet"/>
        <w:spacing w:line="276" w:lineRule="auto"/>
      </w:pPr>
      <w:r>
        <w:t>Treatment prescription explicitly identifies stand density reduction, ladder fuel removal, defensible space creation, or related wildfire mitigation as a primary objective</w:t>
      </w:r>
    </w:p>
    <w:p>
      <w:pPr>
        <w:pStyle w:val="ListBullet"/>
        <w:spacing w:line="276" w:lineRule="auto"/>
      </w:pPr>
      <w:r>
        <w:t>Treatment is located in a mapped high or very high wildfire hazard zone (Oregon Wildfire Risk Explorer)</w:t>
      </w:r>
    </w:p>
    <w:p>
      <w:pPr>
        <w:pStyle w:val="ListBullet"/>
        <w:spacing w:line="276" w:lineRule="auto"/>
      </w:pPr>
      <w:r>
        <w:t>Prescription documents that the treatment does not convert forest to non-forest (permanent deforestation excluded)</w:t>
      </w:r>
    </w:p>
    <w:p>
      <w:pPr>
        <w:spacing w:line="276" w:lineRule="auto"/>
      </w:pPr>
      <w:r>
        <w:rPr>
          <w:i/>
        </w:rPr>
        <w:t>Rationale: Fuels reduction inherently involves short-term reduction of on-site carbon stocks—that is its silvicultural purpose. Requiring a third-party 5-year carbon stock stability assessment for an activity whose primary objective is stand density reduction creates an internal contradiction. The Professional Forester's prescription, combined with high-hazard-zone location and ODF regulatory approval, provides assurance that this is genuine forest health work, not commercial overharvest mislabeled as fuels reduction. This does not require a carbon assessment—it requires confirmation that the treatment's stated primary objective is fuels reduction, located in a high-risk area, and approved by a state forester.</w:t>
      </w:r>
    </w:p>
    <w:p/>
    <w:p>
      <w:pPr>
        <w:pStyle w:val="Heading2"/>
        <w:spacing w:before="200" w:after="120"/>
      </w:pPr>
      <w:r>
        <w:t>4.3 CC2 Alternative (Counterfactual Storage Exemption)</w:t>
      </w:r>
    </w:p>
    <w:p>
      <w:pPr>
        <w:spacing w:line="276" w:lineRule="auto"/>
      </w:pPr>
      <w:r>
        <w:t>For feedstock sourced from private fuels reduction meeting the SC1.1 and SC1.2 criteria above, Charm proposes that the CC2 zero-counterfactual pathway be available (in lieu of CC1 or CC3). This is justified by:</w:t>
      </w:r>
    </w:p>
    <w:p>
      <w:pPr>
        <w:pStyle w:val="ListBullet"/>
        <w:spacing w:line="276" w:lineRule="auto"/>
      </w:pPr>
      <w:r>
        <w:t>Identical counterfactual fate: Small-diameter timber, brush, and slash from Oregon fuels reduction projects are overwhelmingly burned in place, chipped and broadcast, or left to decompose—identical to government-program fuels reduction biomass</w:t>
      </w:r>
    </w:p>
    <w:p>
      <w:pPr>
        <w:pStyle w:val="ListBullet"/>
        <w:spacing w:line="276" w:lineRule="auto"/>
      </w:pPr>
      <w:r>
        <w:t>Professional attestation: The Licensed Forester prescription documents the expected fate of residue absent utilization (pile burn, broadcast burn, or decomposition)</w:t>
      </w:r>
    </w:p>
    <w:p>
      <w:pPr>
        <w:pStyle w:val="ListBullet"/>
        <w:spacing w:line="276" w:lineRule="auto"/>
      </w:pPr>
      <w:r>
        <w:t>Regulatory documentation: Oregon Forest Practices Rules require documented slash disposal methods (open burning, chipping, or natural decomposition per OAR 629-625-0400)</w:t>
      </w:r>
    </w:p>
    <w:p>
      <w:pPr>
        <w:pStyle w:val="ListBullet"/>
        <w:spacing w:line="276" w:lineRule="auto"/>
      </w:pPr>
      <w:r>
        <w:t>Market evidence: Documentation that any processed biomass is non-marketable or marketed only for bioenergy, landscaping, or mulch (consistent with Module PF2 requirements)</w:t>
      </w:r>
    </w:p>
    <w:p>
      <w:pPr>
        <w:spacing w:line="276" w:lineRule="auto"/>
      </w:pPr>
      <w:r>
        <w:rPr>
          <w:i/>
        </w:rPr>
        <w:t>Rationale: The counterfactual fate of fuels reduction residue does not depend on the institutional pathway through which the treatment was authorized. Oregon-regulated private fuels reduction generates the same material (small-diameter timber, brush, slash) with the same counterfactual fate (pile burning, natural decomposition, or low-value chipping) as biomass from government-program fuels reduction. Extending CC2 to qualifying private fuels reduction is not a policy concession—it is a recognition that the physical reality of the feedstock is unchanged by the regulatory channel.</w:t>
      </w:r>
    </w:p>
    <w:p/>
    <w:p>
      <w:pPr>
        <w:pStyle w:val="Heading1"/>
        <w:spacing w:before="240" w:after="120"/>
      </w:pPr>
      <w:r>
        <w:t>5. Evidence Package for Charm's Oregon Sourcing</w:t>
      </w:r>
    </w:p>
    <w:p>
      <w:pPr>
        <w:spacing w:line="276" w:lineRule="auto"/>
      </w:pPr>
      <w:r>
        <w:t>To support feedstock sourcing from Oregon private fuels reduction, Charm will provide the following documentation with each supplier relationship:</w:t>
      </w:r>
    </w:p>
    <w:p>
      <w:pPr>
        <w:pStyle w:val="Heading2"/>
        <w:spacing w:before="200" w:after="120"/>
      </w:pPr>
      <w:r>
        <w:t>5.1 Regulatory Compliance Documentation</w:t>
      </w:r>
    </w:p>
    <w:p>
      <w:pPr>
        <w:pStyle w:val="ListBullet"/>
        <w:spacing w:line="276" w:lineRule="auto"/>
      </w:pPr>
      <w:r>
        <w:t>Oregon Department of Forestry Notification of Operations (ORS 527.630) for the treatment unit, including ODF approval or conditions</w:t>
      </w:r>
    </w:p>
    <w:p>
      <w:pPr>
        <w:pStyle w:val="ListBullet"/>
        <w:spacing w:line="276" w:lineRule="auto"/>
      </w:pPr>
      <w:r>
        <w:t>Licensed Forester prescription or forest management plan, including: (a) licensed forester name, license number, and contact; (b) treatment unit description and location (township/range or parcel numbers); (c) stated primary objectives (fuels reduction, defensible space, forest health, etc.); (d) stand conditions and prescription parameters; (e) expected residue fate absent utilization (pile burn, broadcast burn, decomposition, or chipping)</w:t>
      </w:r>
    </w:p>
    <w:p>
      <w:pPr>
        <w:pStyle w:val="ListBullet"/>
        <w:spacing w:line="276" w:lineRule="auto"/>
      </w:pPr>
      <w:r>
        <w:t>Confirmation that treatment location falls within a high or very high wildfire hazard zone per Oregon Wildfire Risk Explorer (OWRE) mapping</w:t>
      </w:r>
    </w:p>
    <w:p/>
    <w:p>
      <w:pPr>
        <w:pStyle w:val="Heading2"/>
        <w:spacing w:before="200" w:after="120"/>
      </w:pPr>
      <w:r>
        <w:t>5.2 Chain of Custody Documentation</w:t>
      </w:r>
    </w:p>
    <w:p>
      <w:pPr>
        <w:pStyle w:val="ListBullet"/>
        <w:spacing w:line="276" w:lineRule="auto"/>
      </w:pPr>
      <w:r>
        <w:t>Parcel identification (County Assessor parcel numbers or equivalent) linking delivery feedstock to the source treatment unit</w:t>
      </w:r>
    </w:p>
    <w:p>
      <w:pPr>
        <w:pStyle w:val="ListBullet"/>
        <w:spacing w:line="276" w:lineRule="auto"/>
      </w:pPr>
      <w:r>
        <w:t>Certified scale tickets from the supplier's mill, landing, or processing facility documenting biomass mass and date</w:t>
      </w:r>
    </w:p>
    <w:p>
      <w:pPr>
        <w:pStyle w:val="ListBullet"/>
        <w:spacing w:line="276" w:lineRule="auto"/>
      </w:pPr>
      <w:r>
        <w:t>Bills of lading for all transportation legs from treatment unit to Charm's facility or intermediate processor</w:t>
      </w:r>
    </w:p>
    <w:p>
      <w:pPr>
        <w:pStyle w:val="ListBullet"/>
        <w:spacing w:line="276" w:lineRule="auto"/>
      </w:pPr>
      <w:r>
        <w:t>Supplier declaration confirming that the delivered biomass originates from the identified treatment unit and has not been commingled with non-qualifying feedstock</w:t>
      </w:r>
    </w:p>
    <w:p>
      <w:pPr>
        <w:pStyle w:val="ListBullet"/>
        <w:spacing w:line="276" w:lineRule="auto"/>
      </w:pPr>
      <w:r>
        <w:t>Optional but preferred: Mass reconciliation showing that delivered feedstock quantity is consistent with treatment prescription acreage and expected residue production</w:t>
      </w:r>
    </w:p>
    <w:p/>
    <w:p>
      <w:pPr>
        <w:pStyle w:val="Heading2"/>
        <w:spacing w:before="200" w:after="120"/>
      </w:pPr>
      <w:r>
        <w:t>5.3 Feedstock Quality Documentation (for processed biomass)</w:t>
      </w:r>
    </w:p>
    <w:p>
      <w:pPr>
        <w:pStyle w:val="ListBullet"/>
        <w:spacing w:line="276" w:lineRule="auto"/>
      </w:pPr>
      <w:r>
        <w:t>For biomass processed through a wood products facility prior to delivery: documentation satisfying Module PF2 (Prohibited Feedstock) criteria, showing that the material was non-marketable or marketed only for bioenergy, landscaping, or mulch over the prior 2 years</w:t>
      </w:r>
    </w:p>
    <w:p>
      <w:pPr>
        <w:pStyle w:val="ListBullet"/>
        <w:spacing w:line="276" w:lineRule="auto"/>
      </w:pPr>
      <w:r>
        <w:t>Supplier declaration regarding competitive market alternatives for the residue material absent utilization by Charm</w:t>
      </w:r>
    </w:p>
    <w:p/>
    <w:p>
      <w:pPr>
        <w:pStyle w:val="Heading1"/>
        <w:spacing w:before="240" w:after="120"/>
      </w:pPr>
      <w:r>
        <w:t>6. Mapping of Module Requirements to Evidence Pathways</w:t>
      </w:r>
    </w:p>
    <w:tbl>
      <w:tblPr>
        <w:tblStyle w:val="LightGrid-Accent1"/>
        <w:tblW w:type="auto" w:w="0"/>
        <w:tblLook w:firstColumn="1" w:firstRow="1" w:lastColumn="0" w:lastRow="0" w:noHBand="0" w:noVBand="1" w:val="04A0"/>
      </w:tblPr>
      <w:tblGrid>
        <w:gridCol w:w="3120"/>
        <w:gridCol w:w="3120"/>
        <w:gridCol w:w="3120"/>
      </w:tblGrid>
      <w:tr>
        <w:tc>
          <w:tcPr>
            <w:tcW w:type="dxa" w:w="3120"/>
            <w:shd w:fill="D5E8F0"/>
          </w:tcPr>
          <w:p>
            <w:pPr>
              <w:spacing w:line="264" w:lineRule="auto"/>
            </w:pPr>
            <w:r>
              <w:rPr>
                <w:b/>
                <w:sz w:val="20"/>
              </w:rPr>
              <w:t>Module Provision</w:t>
            </w:r>
          </w:p>
        </w:tc>
        <w:tc>
          <w:tcPr>
            <w:tcW w:type="dxa" w:w="3120"/>
            <w:shd w:fill="D5E8F0"/>
          </w:tcPr>
          <w:p>
            <w:pPr>
              <w:spacing w:line="264" w:lineRule="auto"/>
            </w:pPr>
            <w:r>
              <w:rPr>
                <w:b/>
                <w:sz w:val="20"/>
              </w:rPr>
              <w:t>Current Requirement (Non-Gov't)</w:t>
            </w:r>
          </w:p>
        </w:tc>
        <w:tc>
          <w:tcPr>
            <w:tcW w:type="dxa" w:w="3120"/>
            <w:shd w:fill="D5E8F0"/>
          </w:tcPr>
          <w:p>
            <w:pPr>
              <w:spacing w:line="264" w:lineRule="auto"/>
            </w:pPr>
            <w:r>
              <w:rPr>
                <w:b/>
                <w:sz w:val="20"/>
              </w:rPr>
              <w:t>Proposed Oregon Alternative</w:t>
            </w:r>
          </w:p>
        </w:tc>
      </w:tr>
      <w:tr>
        <w:tc>
          <w:tcPr>
            <w:tcW w:type="dxa" w:w="3120"/>
          </w:tcPr>
          <w:p>
            <w:pPr>
              <w:spacing w:line="264" w:lineRule="auto"/>
            </w:pPr>
            <w:r>
              <w:rPr>
                <w:sz w:val="20"/>
              </w:rPr>
              <w:t>SC1.1</w:t>
              <w:br/>
              <w:t>(Forestry Certification)</w:t>
            </w:r>
          </w:p>
        </w:tc>
        <w:tc>
          <w:tcPr>
            <w:tcW w:type="dxa" w:w="3120"/>
          </w:tcPr>
          <w:p>
            <w:pPr>
              <w:spacing w:line="264" w:lineRule="auto"/>
            </w:pPr>
            <w:r>
              <w:rPr>
                <w:sz w:val="20"/>
              </w:rPr>
              <w:t>FSC/PEFC/SFI certification OR independent third-party risk assessment</w:t>
            </w:r>
          </w:p>
        </w:tc>
        <w:tc>
          <w:tcPr>
            <w:tcW w:type="dxa" w:w="3120"/>
          </w:tcPr>
          <w:p>
            <w:pPr>
              <w:spacing w:line="264" w:lineRule="auto"/>
            </w:pPr>
            <w:r>
              <w:rPr>
                <w:sz w:val="20"/>
              </w:rPr>
              <w:t>Oregon NOO + Licensed Forester prescription + wildfire hazard zone location + primary fuels-reduction objective confirmation</w:t>
            </w:r>
          </w:p>
        </w:tc>
      </w:tr>
      <w:tr>
        <w:tc>
          <w:tcPr>
            <w:tcW w:type="dxa" w:w="3120"/>
          </w:tcPr>
          <w:p>
            <w:pPr>
              <w:spacing w:line="264" w:lineRule="auto"/>
            </w:pPr>
            <w:r>
              <w:rPr>
                <w:sz w:val="20"/>
              </w:rPr>
              <w:t>SC1.2</w:t>
              <w:br/>
              <w:t>(Forest Carbon Stocks)</w:t>
            </w:r>
          </w:p>
        </w:tc>
        <w:tc>
          <w:tcPr>
            <w:tcW w:type="dxa" w:w="3120"/>
          </w:tcPr>
          <w:p>
            <w:pPr>
              <w:spacing w:line="264" w:lineRule="auto"/>
            </w:pPr>
            <w:r>
              <w:rPr>
                <w:sz w:val="20"/>
              </w:rPr>
              <w:t>Third-party 5-year forest carbon stock assessment OR UNFCCC inventory evidence</w:t>
            </w:r>
          </w:p>
        </w:tc>
        <w:tc>
          <w:tcPr>
            <w:tcW w:type="dxa" w:w="3120"/>
          </w:tcPr>
          <w:p>
            <w:pPr>
              <w:spacing w:line="264" w:lineRule="auto"/>
            </w:pPr>
            <w:r>
              <w:rPr>
                <w:sz w:val="20"/>
              </w:rPr>
              <w:t>Extend government wildfire program exemption to Licensed Forester-prescribed fuels reduction in mapped high/very-high hazard zones</w:t>
            </w:r>
          </w:p>
        </w:tc>
      </w:tr>
      <w:tr>
        <w:tc>
          <w:tcPr>
            <w:tcW w:type="dxa" w:w="3120"/>
          </w:tcPr>
          <w:p>
            <w:pPr>
              <w:spacing w:line="264" w:lineRule="auto"/>
            </w:pPr>
            <w:r>
              <w:rPr>
                <w:sz w:val="20"/>
              </w:rPr>
              <w:t>CC2</w:t>
              <w:br/>
              <w:t>(Counterfactual Storage)</w:t>
            </w:r>
          </w:p>
        </w:tc>
        <w:tc>
          <w:tcPr>
            <w:tcW w:type="dxa" w:w="3120"/>
          </w:tcPr>
          <w:p>
            <w:pPr>
              <w:spacing w:line="264" w:lineRule="auto"/>
            </w:pPr>
            <w:r>
              <w:rPr>
                <w:sz w:val="20"/>
              </w:rPr>
              <w:t>Not available; must use CC1 (15-year sequestration proof) or CC3 (full quantification)</w:t>
            </w:r>
          </w:p>
        </w:tc>
        <w:tc>
          <w:tcPr>
            <w:tcW w:type="dxa" w:w="3120"/>
          </w:tcPr>
          <w:p>
            <w:pPr>
              <w:spacing w:line="264" w:lineRule="auto"/>
            </w:pPr>
            <w:r>
              <w:rPr>
                <w:sz w:val="20"/>
              </w:rPr>
              <w:t>Extend CC2 zero-counterfactual to qualifying private fuels reduction with Licensed Forester attestation of counterfactual fate + slash disposal documentation</w:t>
            </w:r>
          </w:p>
        </w:tc>
      </w:tr>
      <w:tr>
        <w:tc>
          <w:tcPr>
            <w:tcW w:type="dxa" w:w="3120"/>
          </w:tcPr>
          <w:p>
            <w:pPr>
              <w:spacing w:line="264" w:lineRule="auto"/>
            </w:pPr>
            <w:r>
              <w:rPr>
                <w:sz w:val="20"/>
              </w:rPr>
              <w:t>SC1.3 &amp; Prohibition</w:t>
              <w:br/>
              <w:t>(Primary Forests)</w:t>
            </w:r>
          </w:p>
        </w:tc>
        <w:tc>
          <w:tcPr>
            <w:tcW w:type="dxa" w:w="3120"/>
          </w:tcPr>
          <w:p>
            <w:pPr>
              <w:spacing w:line="264" w:lineRule="auto"/>
            </w:pPr>
            <w:r>
              <w:rPr>
                <w:sz w:val="20"/>
              </w:rPr>
              <w:t>Chain-of-custody demonstrating non-primary-forest sourcing</w:t>
            </w:r>
          </w:p>
        </w:tc>
        <w:tc>
          <w:tcPr>
            <w:tcW w:type="dxa" w:w="3120"/>
          </w:tcPr>
          <w:p>
            <w:pPr>
              <w:spacing w:line="264" w:lineRule="auto"/>
            </w:pPr>
            <w:r>
              <w:rPr>
                <w:sz w:val="20"/>
              </w:rPr>
              <w:t>Same as current requirement; Licensed Forester prescription confirmation that treatment is not primary forest conversion</w:t>
            </w:r>
          </w:p>
        </w:tc>
      </w:tr>
    </w:tbl>
    <w:p/>
    <w:p>
      <w:pPr>
        <w:pStyle w:val="Heading1"/>
        <w:spacing w:before="240" w:after="120"/>
      </w:pPr>
      <w:r>
        <w:t>7. Requested Outcome</w:t>
      </w:r>
    </w:p>
    <w:p>
      <w:pPr>
        <w:spacing w:line="276" w:lineRule="auto"/>
      </w:pPr>
      <w:r>
        <w:t>Charm is not proposing to weaken the Module's sustainability criteria or counterfactual storage requirements. We are proposing that Isometric recognize an alternative evidence pathway that is better aligned with the actual regulatory and professional accountability infrastructure governing private-land forestry in Oregon. Oregon's system is not weaker than government grant program enrollment—it is different in institutional channel but equivalent in environmental rigor: state regulatory oversight, professional forester accountability, explicit wildfire policy support, and documented environmental compliance.</w:t>
      </w:r>
    </w:p>
    <w:p>
      <w:pPr>
        <w:spacing w:line="276" w:lineRule="auto"/>
      </w:pPr>
      <w:r>
        <w:t>We request a working session with the Isometric science team to review this proposal and, if the framework is directionally acceptable, to agree on a pilot implementation approach—potentially scoped to a single feedstock supplier and treatment unit in Oregon—that would allow Charm to bring private-land fuels reduction biomass into the crediting program with Isometric's advance concurrence on the evidence package. This would be similar to the pilot pathway established for Colorado sourcing, but tailored to Oregon's regulatory structure.</w:t>
      </w:r>
    </w:p>
    <w:p/>
    <w:p/>
    <w:p>
      <w:pPr>
        <w:spacing w:line="276" w:lineRule="auto"/>
      </w:pPr>
      <w:r>
        <w:t>We welcome the opportunity to discuss this proposal with your team and to work collaboratively toward a framework that recognizes the rigorous environmental accountability of Oregon's private fuels reduction operations.</w:t>
      </w:r>
    </w:p>
    <w:p/>
    <w:p>
      <w:pPr>
        <w:ind w:left="0"/>
      </w:pPr>
      <w:r>
        <w:rPr>
          <w:b/>
        </w:rPr>
        <w:t xml:space="preserve">Prepared by: </w:t>
      </w:r>
      <w:r>
        <w:t>Max Lavine, Charm Industrial</w:t>
      </w:r>
    </w:p>
    <w:p>
      <w:pPr>
        <w:ind w:left="0"/>
      </w:pPr>
      <w:r>
        <w:rPr>
          <w:b/>
        </w:rPr>
        <w:t xml:space="preserve">Contact: </w:t>
      </w:r>
      <w:r>
        <w:t>max@charmindustrial.com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