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Guidance Request: Eligible Forest Biomass Evidence Requirements for Private Fuels Reduction Projects in Oregon</w:t>
      </w:r>
    </w:p>
    <w:p>
      <w:pPr>
        <w:jc w:val="center"/>
      </w:pPr>
      <w:r>
        <w:rPr>
          <w:i/>
          <w:sz w:val="22"/>
        </w:rPr>
        <w:t>Biomass Feedstock Accounting Module v1.3 — Sustainability Criteria &amp; Counterfactual Storage</w:t>
      </w:r>
    </w:p>
    <w:p/>
    <w:p>
      <w:r>
        <w:rPr>
          <w:b/>
        </w:rPr>
        <w:t xml:space="preserve">From: </w:t>
      </w:r>
      <w:r>
        <w:t>Max Lavine, Carbon Protocol and Verification Lead, Charm Industrial</w:t>
      </w:r>
    </w:p>
    <w:p>
      <w:r>
        <w:rPr>
          <w:b/>
        </w:rPr>
        <w:t xml:space="preserve">To: </w:t>
      </w:r>
      <w:r>
        <w:t>Isometric Science Team</w:t>
      </w:r>
    </w:p>
    <w:p>
      <w:r>
        <w:rPr>
          <w:b/>
        </w:rPr>
        <w:t xml:space="preserve">Date: </w:t>
      </w:r>
      <w:r>
        <w:t>April 2026</w:t>
      </w:r>
    </w:p>
    <w:p>
      <w:r>
        <w:rPr>
          <w:b/>
        </w:rPr>
        <w:t xml:space="preserve">Re: </w:t>
      </w:r>
      <w:r>
        <w:t>Recognition of Oregon's private fuels reduction regulatory framework as equivalent to government-managed or -supported wildfire mitigation programs under the Biomass Feedstock Accounting Module v1.3</w:t>
      </w:r>
    </w:p>
    <w:p/>
    <w:p>
      <w:pPr>
        <w:pStyle w:val="Heading1"/>
      </w:pPr>
      <w:r>
        <w:t>1. Purpose</w:t>
      </w:r>
    </w:p>
    <w:p>
      <w:r>
        <w:t xml:space="preserve">Charm is preparing to source forest biomass from private-land fuels reduction projects in Oregon. Oregon's regulatory framework for forest management on private timberland—specifically the Oregon Forestry Practices Act (OFPA) and associated licensing requirements for Registered Professional Foresters (RPFs) and Certified Forestry Consultants—creates an equivalent governance structure to formal government-supported wildfire mitigation programs. </w:t>
      </w:r>
    </w:p>
    <w:p>
      <w:r>
        <w:t>This guidance request asks whether Isometric can recognize Oregon's private fuels reduction projects operating under state regulatory oversight as qualifying for the streamlined evidence pathway currently reserved for government-mandated or -supported programs under the Biomass Feedstock Accounting Module v1.3. If favorable, this would enable Charm to source from a significant volume of genuinely sustainable biomass without imposing structurally misaligned compliance burdens on Oregon landowners.</w:t>
      </w:r>
    </w:p>
    <w:p>
      <w:pPr>
        <w:pStyle w:val="Heading1"/>
      </w:pPr>
      <w:r>
        <w:t>2. The Module's Current Treatment of Wildfire Biomass</w:t>
      </w:r>
    </w:p>
    <w:p>
      <w:r>
        <w:t>The Biomass Feedstock Accounting Module v1.3 creates two distinct pathways for forest biomass sourced from wildfire mitigation activities, with materially different evidence burdens.</w:t>
      </w:r>
    </w:p>
    <w:p>
      <w:pPr>
        <w:pStyle w:val="Heading2"/>
      </w:pPr>
      <w:r>
        <w:t>2.1 Government Wildfire Program Pathway (Streamlined)</w:t>
      </w:r>
    </w:p>
    <w:p>
      <w:r>
        <w:t>Biomass sourced through "a government mandated, managed or otherwise supported wildfire mitigation program" receives favorable treatment across three critical module provisions:</w:t>
      </w:r>
    </w:p>
    <w:p>
      <w:pPr>
        <w:pStyle w:val="ListBullet"/>
      </w:pPr>
      <w:r>
        <w:t>SC1.2 (Forest Carbon Stocks): Exemption from the requirement to demonstrate stable or increasing forest carbon stocks over the prior 5 years.</w:t>
      </w:r>
    </w:p>
    <w:p>
      <w:pPr>
        <w:pStyle w:val="ListBullet"/>
      </w:pPr>
      <w:r>
        <w:t>SC1.3 (Primary Forest Sourcing): Exemption from the prohibition on sourcing from primary forests.</w:t>
      </w:r>
    </w:p>
    <w:p>
      <w:pPr>
        <w:pStyle w:val="ListBullet"/>
      </w:pPr>
      <w:r>
        <w:t>CC2 (Counterfactual Storage): Zero counterfactual storage assigned to feedstock, eliminating the need for counterfactual quantification under CC3.</w:t>
      </w:r>
    </w:p>
    <w:p>
      <w:pPr>
        <w:pStyle w:val="Heading2"/>
      </w:pPr>
      <w:r>
        <w:t>2.2 Non-Government Pathway (Full Evidence Burden)</w:t>
      </w:r>
    </w:p>
    <w:p>
      <w:r>
        <w:t>Forest biomass from private-land fuels reduction not enrolled in a formal government program must satisfy general sustainability criteria:</w:t>
      </w:r>
    </w:p>
    <w:p>
      <w:pPr>
        <w:pStyle w:val="ListBullet"/>
      </w:pPr>
      <w:r>
        <w:t>SC1.1: Evidence of sourcing from an approved forestry certification (FSC, PEFC, SFI) or an independent third-party risk assessment.</w:t>
      </w:r>
    </w:p>
    <w:p>
      <w:pPr>
        <w:pStyle w:val="ListBullet"/>
      </w:pPr>
      <w:r>
        <w:t>SC1.2: Independent third-party assessment demonstrating no net decrease in forest carbon stocks over the prior 5 years.</w:t>
      </w:r>
    </w:p>
    <w:p>
      <w:pPr>
        <w:pStyle w:val="ListBullet"/>
      </w:pPr>
      <w:r>
        <w:t>SC1.3: Chain-of-custody documentation demonstrating absence of primary forest sourcing.</w:t>
      </w:r>
    </w:p>
    <w:p>
      <w:pPr>
        <w:pStyle w:val="ListBullet"/>
      </w:pPr>
      <w:r>
        <w:t>CC1 or CC3: Either a demonstration of increased ecosystem carbon sequestration over 15 years (CC1), or a full counterfactual storage quantification (CC3).</w:t>
      </w:r>
    </w:p>
    <w:p>
      <w:pPr>
        <w:pStyle w:val="Heading1"/>
      </w:pPr>
      <w:r>
        <w:t>3. Oregon's Regulatory Framework for Private-Land Fuels Reduction</w:t>
      </w:r>
    </w:p>
    <w:p>
      <w:r>
        <w:t>Oregon law does not designate a single "government wildfire mitigation program," but instead delegates private forest management to state-regulated professional standards. This framework is functionally equivalent to government oversight and creates comparable sustainability assurances.</w:t>
      </w:r>
    </w:p>
    <w:p>
      <w:pPr>
        <w:pStyle w:val="Heading2"/>
      </w:pPr>
      <w:r>
        <w:t>3.1 Oregon Forestry Practices Act (ORS 527.610 et seq.)</w:t>
      </w:r>
    </w:p>
    <w:p>
      <w:r>
        <w:t>The OFPA requires that all forest practices on private and state-owned forest land comply with mandatory performance standards. Relevant provisions for fuels reduction:</w:t>
      </w:r>
    </w:p>
    <w:p>
      <w:pPr>
        <w:pStyle w:val="ListBullet"/>
      </w:pPr>
      <w:r>
        <w:t>Forest practices are defined to include harvesting, site preparation, and other management activities on forest land—explicitly encompassing fuels reduction and thinning.</w:t>
      </w:r>
    </w:p>
    <w:p>
      <w:pPr>
        <w:pStyle w:val="ListBullet"/>
      </w:pPr>
      <w:r>
        <w:t>Operations require either a Notification of Operations (NOO) for minor practices or Permit Applications for more significant activities.</w:t>
      </w:r>
    </w:p>
    <w:p>
      <w:pPr>
        <w:pStyle w:val="ListBullet"/>
      </w:pPr>
      <w:r>
        <w:t>The Oregon Department of Forestry (ODF) has authority to inspect operations and enforce compliance; violations can result in cease-and-desist orders, civil penalties, and mandatory restoration.</w:t>
      </w:r>
    </w:p>
    <w:p>
      <w:pPr>
        <w:pStyle w:val="ListBullet"/>
      </w:pPr>
      <w:r>
        <w:t>The Act establishes mandatory riparian, water quality, and harvesting standards that apply to all forest practices statewide, creating a baseline of environmental protection regardless of project size or land ownership.</w:t>
      </w:r>
    </w:p>
    <w:p>
      <w:pPr>
        <w:pStyle w:val="ListBullet"/>
      </w:pPr>
      <w:r>
        <w:t>Fuels reduction projects are explicitly recognized as a legitimate forest practice and receive regulatory streamlining when prescribed to reduce wildfire hazard.</w:t>
      </w:r>
    </w:p>
    <w:p>
      <w:pPr>
        <w:pStyle w:val="Heading2"/>
      </w:pPr>
      <w:r>
        <w:t>3.2 Registered Professional Forester (RPF) Requirement</w:t>
      </w:r>
    </w:p>
    <w:p>
      <w:r>
        <w:t>Forest practices on private land must be prescribed and supervised by a Registered Professional Forester (defined in ORS 672.097 and administered by the Oregon State Board of Forestry).</w:t>
      </w:r>
    </w:p>
    <w:p>
      <w:pPr>
        <w:pStyle w:val="ListBullet"/>
      </w:pPr>
      <w:r>
        <w:t>To qualify as an RPF, individuals must hold a bachelor's degree in forestry or related field and pass a comprehensive state licensing exam testing knowledge of forest ecology, management practices, and Oregon's regulatory requirements.</w:t>
      </w:r>
    </w:p>
    <w:p>
      <w:pPr>
        <w:pStyle w:val="ListBullet"/>
      </w:pPr>
      <w:r>
        <w:t>RPFs maintain continuing education obligations and are subject to professional ethics standards overseen by the state licensing board.</w:t>
      </w:r>
    </w:p>
    <w:p>
      <w:pPr>
        <w:pStyle w:val="ListBullet"/>
      </w:pPr>
      <w:r>
        <w:t>An RPF's signature on a Notice of Operations or Permit Application certifies that the prescribed operation complies with Oregon's Forest Practices Act and that the forester has examined the site and deemed the operation safe and sustainable.</w:t>
      </w:r>
    </w:p>
    <w:p>
      <w:pPr>
        <w:pStyle w:val="ListBullet"/>
      </w:pPr>
      <w:r>
        <w:t>RPFs carry professional liability and can face license revocation or disciplinary action for non-compliant prescriptions or supervision.</w:t>
      </w:r>
    </w:p>
    <w:p>
      <w:r>
        <w:t>The RPF requirement is Oregon's functional equivalent to the professional certifications required under the module's SC1.1 pathway, but embedded within state regulatory authority rather than through third-party certification programs.</w:t>
      </w:r>
    </w:p>
    <w:p>
      <w:pPr>
        <w:pStyle w:val="Heading2"/>
      </w:pPr>
      <w:r>
        <w:t>3.3 Wildfire Hazard Mapping and Fuels Reduction Priority</w:t>
      </w:r>
    </w:p>
    <w:p>
      <w:r>
        <w:t>Oregon has systematized wildfire risk assessment and fuels reduction priority through several state initiatives:</w:t>
      </w:r>
    </w:p>
    <w:p>
      <w:pPr>
        <w:pStyle w:val="ListBullet"/>
      </w:pPr>
      <w:r>
        <w:t>Oregon Wildfire Risk Explorer (OWRE): A state-maintained, publicly available mapping tool that designates wildfire hazard ratings by community, watershed, and forest stand. This tool is used by state agencies, local governments, and private landowners to prioritize fuels reduction.</w:t>
      </w:r>
    </w:p>
    <w:p>
      <w:pPr>
        <w:pStyle w:val="ListBullet"/>
      </w:pPr>
      <w:r>
        <w:t>Community Wildland Fire Protection Plans (CWPPs): Developed collaboratively across Oregon counties and municipalities to identify high-risk areas and recommend treatment priorities. Private land fuels reduction often implements CWPP-identified treatments.</w:t>
      </w:r>
    </w:p>
    <w:p>
      <w:pPr>
        <w:pStyle w:val="ListBullet"/>
      </w:pPr>
      <w:r>
        <w:t>Statewide Wildfire Response Framework: Oregon's Wildfire Planning Framework and coordinated multi-agency wildfire risk reduction strategy recognize private-land fuels reduction as critical infrastructure for risk mitigation.</w:t>
      </w:r>
    </w:p>
    <w:p>
      <w:r>
        <w:t>These frameworks are analogous to government wildfire mitigation programs in their intent (risk reduction), spatial prioritization (high-hazard zones), and integration with state wildfire response infrastructure.</w:t>
      </w:r>
    </w:p>
    <w:p>
      <w:pPr>
        <w:pStyle w:val="Heading1"/>
      </w:pPr>
      <w:r>
        <w:t>4. Why the Non-Government Pathway Creates a Regulatory Mismatch for Oregon Fuels Reduction</w:t>
      </w:r>
    </w:p>
    <w:p>
      <w:r>
        <w:t>The non-government pathway's requirements are structurally misaligned with Oregon's regulatory model:</w:t>
      </w:r>
    </w:p>
    <w:p>
      <w:pPr>
        <w:pStyle w:val="Heading2"/>
      </w:pPr>
      <w:r>
        <w:t>4.1 SC1.1 Certification Barrier</w:t>
      </w:r>
    </w:p>
    <w:p>
      <w:r>
        <w:t>The module requires FSC, PEFC, or SFI certification or independent third-party risk assessment. In Oregon:</w:t>
      </w:r>
    </w:p>
    <w:p>
      <w:pPr>
        <w:pStyle w:val="ListBullet"/>
      </w:pPr>
      <w:r>
        <w:t>Forest Stewardship Council (FSC) and Program for the Endorsement of Forest Certification (PEFC) certifications are expensive and rare outside industrial timberland operations. Most Oregon fuels reduction on private land is conducted on small to mid-sized parcels by consulting foresters and is not certified.</w:t>
      </w:r>
    </w:p>
    <w:p>
      <w:pPr>
        <w:pStyle w:val="ListBullet"/>
      </w:pPr>
      <w:r>
        <w:t>A third-party risk assessment for each parcel would be duplicative: Oregon's OFPA already requires that an RPF prescribe the operation and that ODF retain oversight authority. Creating an additional independent assessment adds cost without adding substantive environmental assurance.</w:t>
      </w:r>
    </w:p>
    <w:p>
      <w:pPr>
        <w:pStyle w:val="ListBullet"/>
      </w:pPr>
      <w:r>
        <w:t>Oregon's regulatory model is not centralized (like California's CAL FIRE) but instead relies on distributed professional accountability through RPFs and state licensing. This is functionally equivalent to FSC's requirement for certified professional audits, but mediated through the state licensing board rather than a third-party certification body.</w:t>
      </w:r>
    </w:p>
    <w:p>
      <w:pPr>
        <w:pStyle w:val="Heading2"/>
      </w:pPr>
      <w:r>
        <w:t>4.2 SC1.2 Forest Carbon Stock Assessment Burden</w:t>
      </w:r>
    </w:p>
    <w:p>
      <w:r>
        <w:t>The module requires third-party demonstration that forest carbon stocks have not declined over 5 years. For fuels reduction in Oregon:</w:t>
      </w:r>
    </w:p>
    <w:p>
      <w:pPr>
        <w:pStyle w:val="ListBullet"/>
      </w:pPr>
      <w:r>
        <w:t>Fuels reduction inherently causes short-term reduction in standing forest carbon—that is its purpose. Requiring proof that carbon stocks did not decline over 5 years contradicts the silvicultural objective of stand thinning.</w:t>
      </w:r>
    </w:p>
    <w:p>
      <w:pPr>
        <w:pStyle w:val="ListBullet"/>
      </w:pPr>
      <w:r>
        <w:t>The OFPA and prescribed fuels reduction by an RPF already embody the environmental intent behind the module's SC1.2 requirement: to prevent unsustainable harvesting that depletes long-term forest productivity. An RPF's prescription certifies that the treatment is consistent with sustained yield and forest health objectives.</w:t>
      </w:r>
    </w:p>
    <w:p>
      <w:pPr>
        <w:pStyle w:val="ListBullet"/>
      </w:pPr>
      <w:r>
        <w:t>Location in a state-designated wildfire hazard zone (via Oregon Wildfire Risk Explorer) provides objective, state-verified evidence that fuels reduction is justified and necessary—equivalent to the module's intent in exempting government programs from carbon stock scrutiny.</w:t>
      </w:r>
    </w:p>
    <w:p>
      <w:pPr>
        <w:pStyle w:val="Heading2"/>
      </w:pPr>
      <w:r>
        <w:t>4.3 Counterfactual Storage (CC2/CC3) Burden</w:t>
      </w:r>
    </w:p>
    <w:p>
      <w:r>
        <w:t>The module requires either a 15-year ecosystem carbon sequestration proof (CC1) or a full counterfactual storage quantification (CC3). For Oregon fuels reduction:</w:t>
      </w:r>
    </w:p>
    <w:p>
      <w:pPr>
        <w:pStyle w:val="ListBullet"/>
      </w:pPr>
      <w:r>
        <w:t>Fuels reduction residue in Oregon is subject to mandatory disposal under state air quality rules (DEQ regulations) or the OFPA's slash disposal requirements. Without utilization for biochar, this material would be piled and burned—a regulatory baseline, not a choice.</w:t>
      </w:r>
    </w:p>
    <w:p>
      <w:pPr>
        <w:pStyle w:val="ListBullet"/>
      </w:pPr>
      <w:r>
        <w:t>An RPF's prescribed burn permit or slash disposal plan (required under OFPA) provides documentation of the regulatory counterfactual: burning in place. Assigning zero counterfactual storage (CC2 treatment) is justified by this regulatory baseline, not by discretionary program participation.</w:t>
      </w:r>
    </w:p>
    <w:p>
      <w:pPr>
        <w:pStyle w:val="ListBullet"/>
      </w:pPr>
      <w:r>
        <w:t>Requiring a full CC3 quantification for material with a known regulatory disposal pathway is unnecessarily complex and adds cost without improving environmental certainty.</w:t>
      </w:r>
    </w:p>
    <w:p>
      <w:pPr>
        <w:pStyle w:val="Heading1"/>
      </w:pPr>
      <w:r>
        <w:t>5. Proposed Alternative Evidence Framework for Oregon Private-Land Fuels Reduction</w:t>
      </w:r>
    </w:p>
    <w:p>
      <w:r>
        <w:t>Charm proposes that Isometric recognize the following documentation package as satisfying the module's sustainability and counterfactual criteria for forest biomass sourced from Oregon private-land fuels reduction projects, in lieu of the standard non-government pathway:</w:t>
      </w:r>
    </w:p>
    <w:p>
      <w:pPr>
        <w:pStyle w:val="Heading2"/>
      </w:pPr>
      <w:r>
        <w:t>5.1 Sustainability Criteria (SC1.1) — Alternative to Third-Party Certification</w:t>
      </w:r>
    </w:p>
    <w:p>
      <w:r>
        <w:t>In lieu of FSC/PEFC/SFI certification or independent risk assessment, the following documentation package shall satisfy SC1.1 for private-land fuels reduction in Oregon:</w:t>
      </w:r>
    </w:p>
    <w:p>
      <w:pPr>
        <w:pStyle w:val="ListBullet"/>
      </w:pPr>
      <w:r>
        <w:t>Notice of Operations (NOO) or Permit Application filed with the Oregon Department of Forestry, demonstrating compliance with the Oregon Forestry Practices Act.</w:t>
      </w:r>
    </w:p>
    <w:p>
      <w:pPr>
        <w:pStyle w:val="ListBullet"/>
      </w:pPr>
      <w:r>
        <w:t>Registered Professional Forester (RPF) prescription or forest management plan that: (a) is signed by a licensed RPF; (b) identifies the treatment as fuels reduction, forest health improvement, or defensible space creation; (c) specifies stand density reduction, ladder fuel removal, or similar fuels-focused silvicultural objectives; and (d) references compliance with OFPA performance standards.</w:t>
      </w:r>
    </w:p>
    <w:p>
      <w:pPr>
        <w:pStyle w:val="ListBullet"/>
      </w:pPr>
      <w:r>
        <w:t>Written certification from the prescribing RPF that the operation is designed to reduce wildfire hazard and that residual trees and regeneration will support long-term forest productivity and health.</w:t>
      </w:r>
    </w:p>
    <w:p>
      <w:pPr>
        <w:pStyle w:val="ListBullet"/>
      </w:pPr>
      <w:r>
        <w:t>Optional: Confirmation that the treatment unit is located within a state-designated high or very high wildfire hazard zone (per Oregon Wildfire Risk Explorer or equivalent mapping).</w:t>
      </w:r>
    </w:p>
    <w:p>
      <w:r>
        <w:rPr>
          <w:b/>
        </w:rPr>
        <w:t xml:space="preserve">Rationale: </w:t>
      </w:r>
      <w:r>
        <w:t>Oregon's OFPA and RPF licensing requirements are the regulatory and professional accountability mechanisms for private forest management in Oregon. An RPF's prescription, signed under Oregon licensing authority, provides equivalent assurance to FSC certification: it certifies professional judgment, compliance with environmental standards, and oversight by a state-regulated professional body. The RPF requirement is not a private certification but a state-mandated professional standard—thus functionally equivalent to government oversight.</w:t>
      </w:r>
    </w:p>
    <w:p>
      <w:pPr>
        <w:pStyle w:val="Heading2"/>
      </w:pPr>
      <w:r>
        <w:t>5.2 Sustainability Criteria (SC1.2) — Alternative to Carbon Stock Assessment</w:t>
      </w:r>
    </w:p>
    <w:p>
      <w:r>
        <w:t>For feedstock sourced from fuels reduction treatments prescribed by a Registered Professional Forester and complying with the Oregon Forestry Practices Act, Charm proposes that the SC1.2 government wildfire exemption be extended. The following documentation shall satisfy SC1.2:</w:t>
      </w:r>
    </w:p>
    <w:p>
      <w:pPr>
        <w:pStyle w:val="ListBullet"/>
      </w:pPr>
      <w:r>
        <w:t>RPF prescription identifying stand density reduction, ladder fuel removal, or defensible space creation as a primary (not secondary) objective.</w:t>
      </w:r>
    </w:p>
    <w:p>
      <w:pPr>
        <w:pStyle w:val="ListBullet"/>
      </w:pPr>
      <w:r>
        <w:t>Location confirmation placing the treatment unit within a state-designated high or very high wildfire hazard zone (Oregon Wildfire Risk Explorer, Community Wildland Fire Protection Plan priorities, or equivalent state-recognized hazard mapping).</w:t>
      </w:r>
    </w:p>
    <w:p>
      <w:pPr>
        <w:pStyle w:val="ListBullet"/>
      </w:pPr>
      <w:r>
        <w:t>RPF written attestation that the treatment is consistent with long-term forest productivity, regeneration objectives, and compliance with OFPA standards.</w:t>
      </w:r>
    </w:p>
    <w:p>
      <w:r>
        <w:rPr>
          <w:b/>
        </w:rPr>
        <w:t xml:space="preserve">Rationale: </w:t>
      </w:r>
      <w:r>
        <w:t>Fuels reduction inherently involves short-term reduction of forest carbon stocks—it is the silvicultural intent. Requiring a 5-year carbon stability assessment for an activity whose explicit purpose is to reduce stand density contradicts the ecological objective and imposes a regulatory burden that is inapplicable to government programs (which are exempt from this requirement). The combination of (a) RPF prescription, (b) OFPA compliance, and (c) location in a state-designated high-hazard zone provides objective evidence that the treatment is justified, necessary, and designed to support long-term forest health and carbon sequestration post-recovery. This is equivalent to the implicit assurance provided by government program participation.</w:t>
      </w:r>
    </w:p>
    <w:p>
      <w:pPr>
        <w:pStyle w:val="Heading2"/>
      </w:pPr>
      <w:r>
        <w:t>5.3 Counterfactual Storage (CC2) — Extension to Oregon Fuels Reduction</w:t>
      </w:r>
    </w:p>
    <w:p>
      <w:r>
        <w:t>Charm proposes that the CC2 zero-counterfactual pathway be extended to forest biomass from Oregon private-land fuels reduction projects that satisfy the SC1 and SC1.2 criteria above. Supporting documentation shall include:</w:t>
      </w:r>
    </w:p>
    <w:p>
      <w:pPr>
        <w:pStyle w:val="ListBullet"/>
      </w:pPr>
      <w:r>
        <w:t>RPF prescription and written attestation regarding the counterfactual fate of treatment residue absent utilization (e.g., piling and burning, chipping for mulch, or other regulatory-compliant disposal).</w:t>
      </w:r>
    </w:p>
    <w:p>
      <w:pPr>
        <w:pStyle w:val="ListBullet"/>
      </w:pPr>
      <w:r>
        <w:t>Copy of any state or air district burn permit, slash disposal plan, or OFPA-required slash management documentation, confirming the regulatory baseline disposal method.</w:t>
      </w:r>
    </w:p>
    <w:p>
      <w:pPr>
        <w:pStyle w:val="ListBullet"/>
      </w:pPr>
      <w:r>
        <w:t>For biomass that has been processed through a wood products facility or aggregator prior to delivery to Charm: documentation satisfying the Prohibited Feedstock (PF) criteria demonstrating that the material originates from fuels reduction operations and has not been commingled with biomass from non-qualifying sources.</w:t>
      </w:r>
    </w:p>
    <w:p>
      <w:r>
        <w:rPr>
          <w:b/>
        </w:rPr>
        <w:t xml:space="preserve">Rationale: </w:t>
      </w:r>
      <w:r>
        <w:t>Oregon's OFPA and air quality regulations establish a regulatory baseline for slash disposal (burning in place). The counterfactual for fuels reduction residue is not discretionary project participation but compliance with mandatory state disposal requirements. Assigning zero counterfactual storage is justified by this regulatory baseline, analogous to the module's treatment of government programs where fuels reduction material would otherwise be burned.</w:t>
      </w:r>
    </w:p>
    <w:p>
      <w:pPr>
        <w:pStyle w:val="Heading1"/>
      </w:pPr>
      <w:r>
        <w:t>6. Chain of Custody</w:t>
      </w:r>
    </w:p>
    <w:p>
      <w:r>
        <w:t>Charm will maintain full chain-of-custody documentation from the treatment unit to the pyrolysis facility, consistent with the module's existing requirements:</w:t>
      </w:r>
    </w:p>
    <w:p>
      <w:pPr>
        <w:pStyle w:val="ListBullet"/>
      </w:pPr>
      <w:r>
        <w:t>Parcel identification (Assessor's Parcel Number or equivalent) and treatment unit location.</w:t>
      </w:r>
    </w:p>
    <w:p>
      <w:pPr>
        <w:pStyle w:val="ListBullet"/>
      </w:pPr>
      <w:r>
        <w:t>Copy of NOO or Permit Application filed with Oregon Department of Forestry.</w:t>
      </w:r>
    </w:p>
    <w:p>
      <w:pPr>
        <w:pStyle w:val="ListBullet"/>
      </w:pPr>
      <w:r>
        <w:t>Copy of RPF prescription and written attestation.</w:t>
      </w:r>
    </w:p>
    <w:p>
      <w:pPr>
        <w:pStyle w:val="ListBullet"/>
      </w:pPr>
      <w:r>
        <w:t>Certified scale tickets for biomass delivered to Charm's pyrolysis facility or to an intermediary processing site.</w:t>
      </w:r>
    </w:p>
    <w:p>
      <w:pPr>
        <w:pStyle w:val="ListBullet"/>
      </w:pPr>
      <w:r>
        <w:t>Bills of lading for all transportation legs.</w:t>
      </w:r>
    </w:p>
    <w:p>
      <w:pPr>
        <w:pStyle w:val="ListBullet"/>
      </w:pPr>
      <w:r>
        <w:t>Supplier declaration confirming that the biomass originates from the identified treatment unit, has not been commingled with non-qualifying sources, and meets the module's Prohibited Feedstock criteria (PF1–PF5).</w:t>
      </w:r>
    </w:p>
    <w:p>
      <w:r>
        <w:t>This documentation package provides traceability equivalent to or exceeding that available for government-program material sourced through log yards or biomass aggregators.</w:t>
      </w:r>
    </w:p>
    <w:p>
      <w:pPr>
        <w:pStyle w:val="Heading1"/>
      </w:pPr>
      <w:r>
        <w:t>7. Summary: Module Requirements vs. Oregon-Specific Evidence Pathways</w:t>
      </w:r>
    </w:p>
    <w:tbl>
      <w:tblPr>
        <w:tblStyle w:val="LightGrid-Accent1"/>
        <w:tblW w:type="auto" w:w="0"/>
        <w:tblLook w:firstColumn="1" w:firstRow="1" w:lastColumn="0" w:lastRow="0" w:noHBand="0" w:noVBand="1" w:val="04A0"/>
      </w:tblPr>
      <w:tblGrid>
        <w:gridCol w:w="3120"/>
        <w:gridCol w:w="3120"/>
        <w:gridCol w:w="3120"/>
      </w:tblGrid>
      <w:tr>
        <w:tc>
          <w:tcPr>
            <w:tcW w:type="dxa" w:w="2592"/>
            <w:shd w:fill="D3D3D3"/>
          </w:tcPr>
          <w:p>
            <w:r>
              <w:rPr>
                <w:b/>
              </w:rPr>
              <w:t>Module Requirement</w:t>
            </w:r>
          </w:p>
        </w:tc>
        <w:tc>
          <w:tcPr>
            <w:tcW w:type="dxa" w:w="2880"/>
            <w:shd w:fill="D3D3D3"/>
          </w:tcPr>
          <w:p>
            <w:r>
              <w:rPr>
                <w:b/>
              </w:rPr>
              <w:t>Current Non-Gov Pathway</w:t>
            </w:r>
          </w:p>
        </w:tc>
        <w:tc>
          <w:tcPr>
            <w:tcW w:type="dxa" w:w="2880"/>
            <w:shd w:fill="D3D3D3"/>
          </w:tcPr>
          <w:p>
            <w:r>
              <w:rPr>
                <w:b/>
              </w:rPr>
              <w:t>Proposed Oregon Pathway</w:t>
            </w:r>
          </w:p>
        </w:tc>
      </w:tr>
      <w:tr>
        <w:tc>
          <w:tcPr>
            <w:tcW w:type="dxa" w:w="2592"/>
          </w:tcPr>
          <w:p>
            <w:r>
              <w:t>SC1.1 (Professional Credibility &amp; Sustainability)</w:t>
            </w:r>
          </w:p>
        </w:tc>
        <w:tc>
          <w:tcPr>
            <w:tcW w:type="dxa" w:w="2880"/>
          </w:tcPr>
          <w:p>
            <w:r>
              <w:t>FSC/PEFC/SFI certification or independent third-party risk assessment</w:t>
            </w:r>
          </w:p>
        </w:tc>
        <w:tc>
          <w:tcPr>
            <w:tcW w:type="dxa" w:w="2880"/>
          </w:tcPr>
          <w:p>
            <w:r>
              <w:t>Oregon OFPA compliance (NOO/Permit) + RPF prescription + RPF written attestation</w:t>
            </w:r>
          </w:p>
        </w:tc>
      </w:tr>
      <w:tr>
        <w:tc>
          <w:tcPr>
            <w:tcW w:type="dxa" w:w="2592"/>
          </w:tcPr>
          <w:p>
            <w:r>
              <w:t>SC1.2 (Forest Carbon Stocks)</w:t>
            </w:r>
          </w:p>
        </w:tc>
        <w:tc>
          <w:tcPr>
            <w:tcW w:type="dxa" w:w="2880"/>
          </w:tcPr>
          <w:p>
            <w:r>
              <w:t>Independent third-party assessment of 5-year carbon stock trends</w:t>
            </w:r>
          </w:p>
        </w:tc>
        <w:tc>
          <w:tcPr>
            <w:tcW w:type="dxa" w:w="2880"/>
          </w:tcPr>
          <w:p>
            <w:r>
              <w:t>RPF prescription identifying fuels reduction + Location in state-designated high-hazard zone + RPF attestation of forest health compliance</w:t>
            </w:r>
          </w:p>
        </w:tc>
      </w:tr>
      <w:tr>
        <w:tc>
          <w:tcPr>
            <w:tcW w:type="dxa" w:w="2592"/>
          </w:tcPr>
          <w:p>
            <w:r>
              <w:t>CC1/CC3 (Counterfactual Storage)</w:t>
            </w:r>
          </w:p>
        </w:tc>
        <w:tc>
          <w:tcPr>
            <w:tcW w:type="dxa" w:w="2880"/>
          </w:tcPr>
          <w:p>
            <w:r>
              <w:t>15-year ecosystem carbon sequestration proof (CC1) OR full counterfactual quantification (CC3)</w:t>
            </w:r>
          </w:p>
        </w:tc>
        <w:tc>
          <w:tcPr>
            <w:tcW w:type="dxa" w:w="2880"/>
          </w:tcPr>
          <w:p>
            <w:r>
              <w:t>Zero counterfactual (CC2) justified by regulatory baseline disposal (burning); supported by RPF attestation + burn permit or slash disposal plan</w:t>
            </w:r>
          </w:p>
        </w:tc>
      </w:tr>
      <w:tr>
        <w:tc>
          <w:tcPr>
            <w:tcW w:type="dxa" w:w="2592"/>
          </w:tcPr>
          <w:p>
            <w:r>
              <w:t>SC1.3 (Primary Forest Sourcing Prohibition)</w:t>
            </w:r>
          </w:p>
        </w:tc>
        <w:tc>
          <w:tcPr>
            <w:tcW w:type="dxa" w:w="2880"/>
          </w:tcPr>
          <w:p>
            <w:r>
              <w:t>Chain-of-custody documentation demonstrating absence of primary forest sourcing</w:t>
            </w:r>
          </w:p>
        </w:tc>
        <w:tc>
          <w:tcPr>
            <w:tcW w:type="dxa" w:w="2880"/>
          </w:tcPr>
          <w:p>
            <w:r>
              <w:t>Chain-of-custody as described in Section 6 + RPF attestation that treatment is on non-primary forestland</w:t>
            </w:r>
          </w:p>
        </w:tc>
      </w:tr>
    </w:tbl>
    <w:p>
      <w:pPr>
        <w:pStyle w:val="Heading1"/>
      </w:pPr>
      <w:r>
        <w:t>8. Requested Outcome</w:t>
      </w:r>
    </w:p>
    <w:p>
      <w:r>
        <w:t>Charm is not proposing to weaken the module's sustainability criteria or counterfactual storage requirements. We are proposing that Isometric recognize an alternative evidence pathway that is better aligned with Oregon's actual regulatory framework for private forest management.</w:t>
      </w:r>
    </w:p>
    <w:p>
      <w:r>
        <w:t>We request a working session with the Isometric science team to review this framework and, if directionally acceptable, to agree on a pilot implementation approach—potentially scoped initially to Oregon or a subset of Oregon counties to validate the evidence pathway before broader adoption.</w:t>
      </w:r>
    </w:p>
    <w:p>
      <w:pPr>
        <w:pStyle w:val="ListBullet"/>
      </w:pPr>
      <w:r>
        <w:t>If the framework is rejected: we would appreciate written feedback on which components (SC1.1, SC1.2, or CC2) are inadequate and why, so that we can either modify the proposal or rely on the non-government pathway.</w:t>
      </w:r>
    </w:p>
    <w:p>
      <w:pPr>
        <w:pStyle w:val="ListBullet"/>
      </w:pPr>
      <w:r>
        <w:t>If the framework is accepted: we would propose piloting with 2–3 Oregon-sourced biomass lots over the next 12 months to validate data collection procedures and any operational modifications needed.</w:t>
      </w:r>
    </w:p>
    <w:p/>
    <w:p>
      <w:r>
        <w:rPr>
          <w:b/>
        </w:rPr>
        <w:t xml:space="preserve">Prepared by: </w:t>
      </w:r>
      <w:r>
        <w:t>Max Lavine, Carbon Protocol and Verification Lead, Charm Industrial</w:t>
      </w:r>
    </w:p>
    <w:p>
      <w:r>
        <w:rPr>
          <w:b/>
        </w:rPr>
        <w:t xml:space="preserve">Contact: </w:t>
      </w:r>
      <w:r>
        <w:t>max@charmindustrial.com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