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MEMORANDUM</w:t>
        <w:br/>
      </w:r>
    </w:p>
    <w:p/>
    <w:p>
      <w:r>
        <w:rPr>
          <w:b/>
        </w:rPr>
        <w:t xml:space="preserve">Date: </w:t>
      </w:r>
      <w:r>
        <w:t>April 03, 2026</w:t>
      </w:r>
    </w:p>
    <w:p>
      <w:r>
        <w:rPr>
          <w:b/>
        </w:rPr>
        <w:t xml:space="preserve">From: </w:t>
      </w:r>
      <w:r>
        <w:t>Max Lavine, Carbon Protocol and Verification Lead, Charm Industrial</w:t>
      </w:r>
    </w:p>
    <w:p>
      <w:r>
        <w:rPr>
          <w:b/>
        </w:rPr>
        <w:t xml:space="preserve">To: </w:t>
      </w:r>
      <w:r>
        <w:t>Isometric Protocol Review Team</w:t>
      </w:r>
    </w:p>
    <w:p>
      <w:r>
        <w:rPr>
          <w:b/>
        </w:rPr>
        <w:t xml:space="preserve">Re: </w:t>
      </w:r>
      <w:r>
        <w:t>Request to Reduce Basco 6 Permeable Reservoir Buffer Pool Rate to 2%</w:t>
      </w:r>
    </w:p>
    <w:p/>
    <w:p>
      <w:r>
        <w:rPr>
          <w:b/>
        </w:rPr>
        <w:t>Purpose</w:t>
      </w:r>
    </w:p>
    <w:p>
      <w:r>
        <w:t>Charm Industrial respectfully requests that Isometric reduce the buffer pool allocation for permeable reservoir storage at Basco 6 from 5% (Low Risk) to 2% (Very Low Risk), consistent with the buffer applied to salt cavern storage at Vaulted Deep. This brief presents evidence that Basco 6's geological formation, well design, operational performance, and monitoring program support a risk profile materially comparable to salt cavern storage.</w:t>
      </w:r>
    </w:p>
    <w:p/>
    <w:p>
      <w:r>
        <w:rPr>
          <w:b/>
        </w:rPr>
        <w:t>1. Current Protocol Risk Classification and Buffer Allocation</w:t>
      </w:r>
    </w:p>
    <w:p>
      <w:r>
        <w:t>Under the Bio-oil Storage in Permeable Reservoirs Module v1.1, Section 3.3, projects are categorized as having a "Low Risk Level of Reversal" because "there should be no reversals unless there is a loss of caprock or well integrity." Accordingly, a 5% buffer pool is allocated as a precaution against CO₂ or CH₄ gas release.</w:t>
      </w:r>
    </w:p>
    <w:p>
      <w:r>
        <w:t>By contrast, the Bio-oil Storage in Salt Caverns Module v1.1, Section 3.3, classifies projects as "Very Low Risk" because "salt caverns are impermeable (and thus act like a closed system)." A 2% buffer is applied for this risk level.</w:t>
      </w:r>
    </w:p>
    <w:p>
      <w:r>
        <w:t>Charm acknowledges that permeable reservoirs present different containment mechanisms than salt caverns. However, the evidence below demonstrates that Basco 6's specific geological conditions, well integrity, and operational track record reduce the residual risk to a level materially aligned with Very Low Risk classification.</w:t>
      </w:r>
    </w:p>
    <w:p/>
    <w:p>
      <w:r>
        <w:rPr>
          <w:b/>
        </w:rPr>
        <w:t>2. Geological Foundation and Well-Characterized Site Conditions</w:t>
      </w:r>
    </w:p>
    <w:p>
      <w:r>
        <w:t>Basco 6 is a Class II UIC injection well in Louisiana, operating in a permeable reservoir formation approved by the Louisiana Department of Natural Resources. The site benefits from several characteristics that reduce durability risk:</w:t>
      </w:r>
    </w:p>
    <w:p>
      <w:pPr>
        <w:pStyle w:val="ListBullet"/>
      </w:pPr>
      <w:r>
        <w:t>Robust geological containment: The formation has been thoroughly characterized to meet UIC Class II permitting standards, including detailed petrophysical analysis of caprock competency and low-permeability confining layers.</w:t>
      </w:r>
    </w:p>
    <w:p>
      <w:pPr>
        <w:pStyle w:val="ListBullet"/>
      </w:pPr>
      <w:r>
        <w:t>Formation stability: The permeable reservoir has a documented history of oil and gas operations in the region, providing analog data on caprock integrity and long-term containment.</w:t>
      </w:r>
    </w:p>
    <w:p>
      <w:pPr>
        <w:pStyle w:val="ListBullet"/>
      </w:pPr>
      <w:r>
        <w:t>Density-driven immobility: Bio-oil is denser than the surrounding formation brine, ensuring it sinks immediately upon injection and remains at the base of the formation. This eliminates buoyancy-driven migration—a primary risk for CO₂ storage. The protocol itself recognizes this advantage.</w:t>
      </w:r>
    </w:p>
    <w:p>
      <w:pPr>
        <w:pStyle w:val="ListBullet"/>
      </w:pPr>
      <w:r>
        <w:t>Approved regulatory pathway: Louisiana UIC Class II permitting already establishes mandatory site characterization, pressure management, and monitoring requirements that address core durability risks.</w:t>
      </w:r>
    </w:p>
    <w:p>
      <w:r>
        <w:t>The Protocol Module states that projects must demonstrate "no reversals unless there is a loss of caprock or well integrity." Basco 6 satisfies this criterion through its approved formation characterization and well design.</w:t>
      </w:r>
    </w:p>
    <w:p/>
    <w:p>
      <w:r>
        <w:rPr>
          <w:b/>
        </w:rPr>
        <w:t>3. Operational Performance and Demonstrated Monitoring Effectiveness</w:t>
      </w:r>
    </w:p>
    <w:p>
      <w:r>
        <w:t>Since August 2025, Charm has conducted 30 injection batches into Basco 6, injecting approximately 764 metric tons of bio-oil (as of March 2026). The operational record demonstrates:</w:t>
      </w:r>
    </w:p>
    <w:p>
      <w:pPr>
        <w:pStyle w:val="ListBullet"/>
      </w:pPr>
      <w:r>
        <w:t>Zero incidents or anomalies: All injections have been completed without safety or containment issues.</w:t>
      </w:r>
    </w:p>
    <w:p>
      <w:pPr>
        <w:pStyle w:val="ListBullet"/>
      </w:pPr>
      <w:r>
        <w:t>Rigorous batch characterization: Every injection batch is sampled and analyzed by SGS to confirm density, pH, viscosity, and composition within specified parameters—far exceeding typical operational requirements.</w:t>
      </w:r>
    </w:p>
    <w:p>
      <w:pPr>
        <w:pStyle w:val="ListBullet"/>
      </w:pPr>
      <w:r>
        <w:t>Continuous compliance: All 30 verified GHG statements issued by 350Solutions confirm full protocol compliance and proper monitoring adherence.</w:t>
      </w:r>
    </w:p>
    <w:p>
      <w:pPr>
        <w:pStyle w:val="ListBullet"/>
      </w:pPr>
      <w:r>
        <w:t>Verified monitoring implementation: The site maintains the post-injection monitoring plan required by Section 3.2 of the Permeable Reservoirs Module, with particular attention to pressure management and early detection of potential migration pathways.</w:t>
      </w:r>
    </w:p>
    <w:p>
      <w:r>
        <w:t>This operational track record—30 consecutive verified batches without incident—provides empirical support for the risk assessment underlying the protocol. The absence of reversals, migration, pressure exceedances, or compositional anomalies is consistent with a Very Low Risk risk profile.</w:t>
      </w:r>
    </w:p>
    <w:p/>
    <w:p>
      <w:r>
        <w:rPr>
          <w:b/>
        </w:rPr>
        <w:t>4. Bio-oil Durability Supports Reduced Risk Classification</w:t>
      </w:r>
    </w:p>
    <w:p>
      <w:r>
        <w:t>The Permeable Reservoirs Module itself documents favorable conditions for bio-oil permanence in subsurface reservoirs:</w:t>
      </w:r>
    </w:p>
    <w:p>
      <w:pPr>
        <w:pStyle w:val="ListBullet"/>
      </w:pPr>
      <w:r>
        <w:t>Polymerization and immobility: The protocol states that bio-oils are expected to polymerize into a solid state within 2–15 years at typical reservoir temperatures (35–60°C). Once solidified, bio-oil becomes immobile and is geologically stable.</w:t>
      </w:r>
    </w:p>
    <w:p>
      <w:pPr>
        <w:pStyle w:val="ListBullet"/>
      </w:pPr>
      <w:r>
        <w:t>Established Charm research: The protocol specifically cites Charm Industrial's bench-scale aging studies, which demonstrate robust polymerization behavior. This research forms part of the technical foundation for permeable reservoir storage approval.</w:t>
      </w:r>
    </w:p>
    <w:p>
      <w:pPr>
        <w:pStyle w:val="ListBullet"/>
      </w:pPr>
      <w:r>
        <w:t>Low biodegradation risk: The module notes that biodegradation to CO₂ or CH₄ should be "unlikely" owing to bio-oil's lack of wettability and nutrient limitation in the subsurface—factors that apply equally to Basco 6.</w:t>
      </w:r>
    </w:p>
    <w:p>
      <w:pPr>
        <w:pStyle w:val="ListBullet"/>
      </w:pPr>
      <w:r>
        <w:t>Documented low reactivity: Charm's published research, cited in the protocol, shows that bio-oil induces &lt;5% weight loss in sandstone and &lt;3% in dolomite over 21 days—demonstrating minimal risk of rock reactivity creating migration pathways.</w:t>
      </w:r>
    </w:p>
    <w:p>
      <w:r>
        <w:t>These durability characteristics—particularly polymerization and immobility post-solidification—are central to the protocol's acceptance of permeable reservoir storage. The data supports the conclusion that stored bio-oil at Basco 6 will remain geologically isolated for the required timescales.</w:t>
      </w:r>
    </w:p>
    <w:p/>
    <w:p>
      <w:r>
        <w:rPr>
          <w:b/>
        </w:rPr>
        <w:t>5. Comparative Risk Analysis: Permeable Reservoirs vs. Salt Caverns</w:t>
      </w:r>
    </w:p>
    <w:p>
      <w:r>
        <w:t>The 3% difference in buffer allocation (5% vs. 2%) appears to rest on a distinction in containment mechanism: salt caverns are inherently "closed systems" with impermeable walls, while permeable reservoirs depend on caprock integrity and density-driven immobility.</w:t>
      </w:r>
    </w:p>
    <w:p>
      <w:r>
        <w:t>However, the residual risks differ less than the terminology suggests: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Factor</w:t>
            </w:r>
          </w:p>
        </w:tc>
        <w:tc>
          <w:tcPr>
            <w:tcW w:type="dxa" w:w="2880"/>
          </w:tcPr>
          <w:p>
            <w:r>
              <w:t>Salt Cavern (Vaulted)</w:t>
            </w:r>
          </w:p>
        </w:tc>
        <w:tc>
          <w:tcPr>
            <w:tcW w:type="dxa" w:w="2880"/>
          </w:tcPr>
          <w:p>
            <w:r>
              <w:t>Permeable Reservoir (Basco 6)</w:t>
            </w:r>
          </w:p>
        </w:tc>
      </w:tr>
      <w:tr>
        <w:tc>
          <w:tcPr>
            <w:tcW w:type="dxa" w:w="2880"/>
          </w:tcPr>
          <w:p>
            <w:r>
              <w:t>Primary Containment</w:t>
            </w:r>
          </w:p>
        </w:tc>
        <w:tc>
          <w:tcPr>
            <w:tcW w:type="dxa" w:w="2880"/>
          </w:tcPr>
          <w:p>
            <w:r>
              <w:t>Impermeable salt walls</w:t>
            </w:r>
          </w:p>
        </w:tc>
        <w:tc>
          <w:tcPr>
            <w:tcW w:type="dxa" w:w="2880"/>
          </w:tcPr>
          <w:p>
            <w:r>
              <w:t>Caprock + density-driven immobility</w:t>
            </w:r>
          </w:p>
        </w:tc>
      </w:tr>
      <w:tr>
        <w:tc>
          <w:tcPr>
            <w:tcW w:type="dxa" w:w="2880"/>
          </w:tcPr>
          <w:p>
            <w:r>
              <w:t>Reversal Without Failure</w:t>
            </w:r>
          </w:p>
        </w:tc>
        <w:tc>
          <w:tcPr>
            <w:tcW w:type="dxa" w:w="2880"/>
          </w:tcPr>
          <w:p>
            <w:r>
              <w:t>Impossible</w:t>
            </w:r>
          </w:p>
        </w:tc>
        <w:tc>
          <w:tcPr>
            <w:tcW w:type="dxa" w:w="2880"/>
          </w:tcPr>
          <w:p>
            <w:r>
              <w:t>Requires caprock loss or well failure</w:t>
            </w:r>
          </w:p>
        </w:tc>
      </w:tr>
      <w:tr>
        <w:tc>
          <w:tcPr>
            <w:tcW w:type="dxa" w:w="2880"/>
          </w:tcPr>
          <w:p>
            <w:r>
              <w:t>Charm Reversal History</w:t>
            </w:r>
          </w:p>
        </w:tc>
        <w:tc>
          <w:tcPr>
            <w:tcW w:type="dxa" w:w="2880"/>
          </w:tcPr>
          <w:p>
            <w:r>
              <w:t>None across verified batches</w:t>
            </w:r>
          </w:p>
        </w:tc>
        <w:tc>
          <w:tcPr>
            <w:tcW w:type="dxa" w:w="2880"/>
          </w:tcPr>
          <w:p>
            <w:r>
              <w:t>None across 30 verified batches</w:t>
            </w:r>
          </w:p>
        </w:tc>
      </w:tr>
    </w:tbl>
    <w:p/>
    <w:p>
      <w:r>
        <w:t>Both Basco 6 and Vaulted Deep require comprehensive monitoring and well integrity maintenance to prevent reversals. The key distinction—caprock vs. salt—reflects a difference in geology, not a fundamental difference in achievable durability. Basco 6's operational track record and the polymerization pathway for bio-oil permanence demonstrate that the residual reversal risk is materially lower than 5%.</w:t>
      </w:r>
    </w:p>
    <w:p/>
    <w:p>
      <w:r>
        <w:rPr>
          <w:b/>
        </w:rPr>
        <w:t>6. Proposed Risk Reduction Framework and Guardrails</w:t>
      </w:r>
    </w:p>
    <w:p>
      <w:r>
        <w:t>To address any residual concerns and ensure continued rigor, Charm proposes the following guardrails for maintaining a 2% Very Low Risk classification at Basco 6:</w:t>
      </w:r>
    </w:p>
    <w:p>
      <w:pPr>
        <w:pStyle w:val="ListBullet"/>
      </w:pPr>
      <w:r>
        <w:t>Ongoing caprock monitoring: Continued compliance with Louisiana UIC Class II requirements for annual caprock integrity assessment.</w:t>
      </w:r>
    </w:p>
    <w:p>
      <w:pPr>
        <w:pStyle w:val="ListBullet"/>
      </w:pPr>
      <w:r>
        <w:t>Pressure management: Maintenance of injection pressure well below fracture pressure, with automated shutoff if thresholds are approached.</w:t>
      </w:r>
    </w:p>
    <w:p>
      <w:pPr>
        <w:pStyle w:val="ListBullet"/>
      </w:pPr>
      <w:r>
        <w:t>Batch-level characterization: Continued 100% sampling and SGS analysis of every injection batch to confirm bio-oil properties remain within acceptable ranges.</w:t>
      </w:r>
    </w:p>
    <w:p>
      <w:pPr>
        <w:pStyle w:val="ListBullet"/>
      </w:pPr>
      <w:r>
        <w:t>Post-injection surveillance: Continued implementation of Section 3.2 post-injection monitoring plan, including pressure trending, fluid level monitoring, and geochemical tracer analysis.</w:t>
      </w:r>
    </w:p>
    <w:p>
      <w:pPr>
        <w:pStyle w:val="ListBullet"/>
      </w:pPr>
      <w:r>
        <w:t>Polymerization monitoring: Post-closure monitoring to confirm bio-oil polymerization within predicted timescales; any anomalies would trigger corrective action.</w:t>
      </w:r>
    </w:p>
    <w:p>
      <w:pPr>
        <w:pStyle w:val="ListBullet"/>
      </w:pPr>
      <w:r>
        <w:t>Periodic reassessment: Annual review of operational data, regulatory findings, and scientific literature on bio-oil permanence; buffer classification would be reassessed if new data warrant.</w:t>
      </w:r>
    </w:p>
    <w:p>
      <w:r>
        <w:t>These guardrails exceed standard UIC requirements and align with Isometric's emphasis on precaution for emerging storage technologies. They provide Isometric with the visibility and control mechanisms necessary to ensure durability while reflecting the reduced risk profile supported by evidence.</w:t>
      </w:r>
    </w:p>
    <w:p/>
    <w:p>
      <w:r>
        <w:rPr>
          <w:b/>
        </w:rPr>
        <w:t>7. Literature Support and Industry Practice</w:t>
      </w:r>
    </w:p>
    <w:p>
      <w:r>
        <w:t>The feasibility and durability of organic liquid storage in permeable formations is supported by established geochemistry and reservoir engineering literature:</w:t>
      </w:r>
    </w:p>
    <w:p>
      <w:pPr>
        <w:pStyle w:val="ListBullet"/>
      </w:pPr>
      <w:r>
        <w:t>Long-term organic storage: Geological formations have naturally retained crude oil and other organic liquids for millions of years—providing proof of concept for multi-century containment in similar geologic settings.</w:t>
      </w:r>
    </w:p>
    <w:p>
      <w:pPr>
        <w:pStyle w:val="ListBullet"/>
      </w:pPr>
      <w:r>
        <w:t>Density and immobility: Published research on subsurface fluid migration emphasizes that density contrast is the primary mechanism preventing migration. Bio-oil's density (&gt;formation brine) is analogous to crude oil in natural reservoirs.</w:t>
      </w:r>
    </w:p>
    <w:p>
      <w:pPr>
        <w:pStyle w:val="ListBullet"/>
      </w:pPr>
      <w:r>
        <w:t>Polymerization durability: Charm's published bench-scale research on bio-oil aging and polymerization, cited in the Isometric protocol, demonstrates robust chemical stability post-injection.</w:t>
      </w:r>
    </w:p>
    <w:p>
      <w:pPr>
        <w:pStyle w:val="ListBullet"/>
      </w:pPr>
      <w:r>
        <w:t>Analogous CDR pathways: Other Isometric-approved storage modules for organic materials in geological formations rely on similar caprock-based containment principles, indicating that permeable reservoir storage is not unique or novel in its risk profile.</w:t>
      </w:r>
    </w:p>
    <w:p>
      <w:r>
        <w:t>The scientific and operational consensus supports the conclusion that Well-characterized permeable reservoirs with robust monitoring can achieve durability profiles aligned with Very Low Risk classification.</w:t>
      </w:r>
    </w:p>
    <w:p/>
    <w:p>
      <w:r>
        <w:rPr>
          <w:b/>
        </w:rPr>
        <w:t>Summary and Requested Outcome</w:t>
      </w:r>
    </w:p>
    <w:p>
      <w:r>
        <w:t>Charm respectfully requests that Isometric reduce the Basco 6 buffer pool allocation from 5% to 2%, thereby recognizing its Very Low Risk classification. This change is supported by:</w:t>
      </w:r>
    </w:p>
    <w:p>
      <w:pPr>
        <w:pStyle w:val="ListBullet"/>
      </w:pPr>
      <w:r>
        <w:t>Robust geological characterization and approved regulatory status (Louisiana Class II UIC)</w:t>
      </w:r>
    </w:p>
    <w:p>
      <w:pPr>
        <w:pStyle w:val="ListBullet"/>
      </w:pPr>
      <w:r>
        <w:t>Demonstrated operational performance: 30 consecutive verified injection batches with zero incidents</w:t>
      </w:r>
    </w:p>
    <w:p>
      <w:pPr>
        <w:pStyle w:val="ListBullet"/>
      </w:pPr>
      <w:r>
        <w:t>Bio-oil durability mechanisms: polymerization, density-driven immobility, and low reactivity</w:t>
      </w:r>
    </w:p>
    <w:p>
      <w:pPr>
        <w:pStyle w:val="ListBullet"/>
      </w:pPr>
      <w:r>
        <w:t>Comprehensive monitoring and proposed guardrails that exceed standard requirements</w:t>
      </w:r>
    </w:p>
    <w:p>
      <w:pPr>
        <w:pStyle w:val="ListBullet"/>
      </w:pPr>
      <w:r>
        <w:t>Alignment with scientific and regulatory consensus on permeable reservoir containment</w:t>
      </w:r>
    </w:p>
    <w:p>
      <w:r>
        <w:t>Charm remains committed to full transparency and collaborative engagement with Isometric throughout this review process. We welcome further discussion, additional data requests, or technical sessions to address any questions.</w:t>
      </w:r>
    </w:p>
    <w:p/>
    <w:p>
      <w:r>
        <w:t>Respectfully submitted,</w:t>
        <w:br/>
        <w:br/>
      </w:r>
      <w:r>
        <w:t>Max Lavine</w:t>
        <w:br/>
      </w:r>
      <w:r>
        <w:t>Carbon Protocol and Verification Lead</w:t>
        <w:br/>
      </w:r>
      <w:r>
        <w:t>Charm Industrial</w:t>
        <w:br/>
      </w:r>
      <w:r>
        <w:t>max@charmindustrial.com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