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MEMORANDUM</w:t>
      </w:r>
    </w:p>
    <w:p>
      <w:pPr>
        <w:spacing w:before="240" w:after="240"/>
      </w:pPr>
    </w:p>
    <w:p>
      <w:pPr>
        <w:spacing w:after="120"/>
        <w:ind w:left="720"/>
      </w:pPr>
      <w:r>
        <w:t>TO: Isometric Registry</w:t>
      </w:r>
    </w:p>
    <w:p>
      <w:pPr>
        <w:spacing w:after="120"/>
        <w:ind w:left="720"/>
      </w:pPr>
      <w:r>
        <w:t>FROM: Max Lavine, Carbon Protocol and Verification Lead, Charm Industrial</w:t>
      </w:r>
    </w:p>
    <w:p>
      <w:pPr>
        <w:spacing w:after="120"/>
        <w:ind w:left="720"/>
      </w:pPr>
      <w:r>
        <w:t>DATE: April 03, 2026</w:t>
      </w:r>
    </w:p>
    <w:p>
      <w:pPr>
        <w:spacing w:after="120"/>
        <w:ind w:left="720"/>
      </w:pPr>
      <w:r>
        <w:t>RE: Request to Reduce Basco 6 Buffer Pool Rate from 5% to 2%</w:t>
      </w:r>
    </w:p>
    <w:p/>
    <w:p>
      <w:pPr>
        <w:pStyle w:val="Heading1"/>
      </w:pPr>
      <w:r>
        <w:rPr>
          <w:sz w:val="24"/>
        </w:rPr>
        <w:t>Executive Summary</w:t>
      </w:r>
    </w:p>
    <w:p>
      <w:pPr/>
      <w:r>
        <w:t>Charm Industrial respectfully requests that Isometric reduce the buffer pool allocation for Basco 6 from the current Low Risk rate of 5% to the Very Low Risk rate of 2%. Our operational track record, comprehensive geological characterization, and robust monitoring data demonstrate that Basco 6 meets the risk profile criteria that justify the 2% buffer, equivalent to the Vaulted Deep salt cavern storage site. This reduction would better reflect the actual risk of reversal while maintaining conservative precautions appropriate to permeable reservoir storage.</w:t>
      </w:r>
    </w:p>
    <w:p/>
    <w:p>
      <w:pPr>
        <w:pStyle w:val="Heading1"/>
      </w:pPr>
      <w:r>
        <w:rPr>
          <w:sz w:val="24"/>
        </w:rPr>
        <w:t>Rationale for Buffer Pool Reduction</w:t>
      </w:r>
    </w:p>
    <w:p>
      <w:pPr>
        <w:pStyle w:val="Heading2"/>
      </w:pPr>
      <w:r>
        <w:rPr>
          <w:sz w:val="22"/>
        </w:rPr>
        <w:t>1. Operational Track Record</w:t>
      </w:r>
    </w:p>
    <w:p>
      <w:pPr/>
      <w:r>
        <w:t>Basco 6 has operated successfully for approximately 7 months (August 2025 to March 2026) with no reversal incidents. During this period:</w:t>
        <w:br/>
        <w:br/>
        <w:t>• 6 complete GHG verification statements have been issued (Statements 8–13) covering 123 tCO₂e of verified removals</w:t>
        <w:br/>
        <w:t>• All injections have proceeded without integrity failures, caprock breach, or migration events</w:t>
        <w:br/>
        <w:t>• Multiple feedstock types have been injected successfully: AECN bio-oil, Charm WODO (wood-derived oil), and Charm Aqueous (quench oil/wood vinegar)</w:t>
        <w:br/>
        <w:t>• Pre-injection density analysis confirms all streams exceed formation fluid density (&gt;1.01 g/cm³), ensuring stable stratification post-injection</w:t>
        <w:br/>
        <w:br/>
        <w:t>This operational history—while still recent—demonstrates system stability and the effectiveness of our monitoring infrastructure.</w:t>
      </w:r>
    </w:p>
    <w:p/>
    <w:p>
      <w:pPr>
        <w:pStyle w:val="Heading2"/>
      </w:pPr>
      <w:r>
        <w:rPr>
          <w:sz w:val="22"/>
        </w:rPr>
        <w:t>2. Geological Characterization and Containment Robustness</w:t>
      </w:r>
    </w:p>
    <w:p>
      <w:pPr/>
      <w:r>
        <w:t>Basco 6 is situated in a Class II UIC permitting framework (Louisiana) with well-characterized geology:</w:t>
        <w:br/>
        <w:br/>
        <w:t>• The formation has been subject to sustained monitoring consistent with EPA and State oversight requirements</w:t>
        <w:br/>
        <w:t>• Caprock integrity has been verified as part of the pre-injection characterization and injection permitting</w:t>
        <w:br/>
        <w:t>• The formation is confirmed to be a clastic reservoir with established containment</w:t>
        <w:br/>
        <w:t>• Confining layer(s) above the injection zone prevent vertical migration of buoyant phases such as biogas</w:t>
        <w:br/>
        <w:br/>
        <w:t>These characteristics parallel the containment logic that justifies the Very Low Risk classification for salt cavern storage at Vaulted Deep: where geological confinement is verifiable and robust, reversal risk is minimized.</w:t>
      </w:r>
    </w:p>
    <w:p/>
    <w:p>
      <w:pPr>
        <w:pStyle w:val="Heading2"/>
      </w:pPr>
      <w:r>
        <w:rPr>
          <w:sz w:val="22"/>
        </w:rPr>
        <w:t>3. Injection and Monitoring Data</w:t>
      </w:r>
    </w:p>
    <w:p>
      <w:pPr/>
      <w:r>
        <w:t>Charm's injection and monitoring program at Basco 6 includes:</w:t>
        <w:br/>
        <w:br/>
        <w:t>• Pressure and temperature monitoring during injection operations</w:t>
        <w:br/>
        <w:t>• Post-injection observation well data confirming absence of migration</w:t>
        <w:br/>
        <w:t>• Biogeochemical monitoring to detect gas formation or bio-oil degradation</w:t>
        <w:br/>
        <w:t>• Record-keeping and regulatory reporting compliant with Class II UIC requirements and Isometric standards</w:t>
        <w:br/>
        <w:br/>
        <w:t>The monitoring data collected to date show no indicators of risk pathways: no pressure buildup, no caprock stress indicators, and no evidence of gas production or bio-oil polymerization anomalies.</w:t>
      </w:r>
    </w:p>
    <w:p/>
    <w:p>
      <w:pPr>
        <w:pStyle w:val="Heading1"/>
      </w:pPr>
      <w:r>
        <w:rPr>
          <w:sz w:val="24"/>
        </w:rPr>
        <w:t>Bio-Oil Permanence in Permeable Formations</w:t>
      </w:r>
    </w:p>
    <w:p>
      <w:pPr/>
      <w:r>
        <w:t>The Isometric Bio-oil Storage in Permeable Reservoirs v1.1 module (the applicable protocol for Basco 6) acknowledges the following durability mechanisms:</w:t>
        <w:br/>
        <w:br/>
        <w:t>• **Polymerization and Immobilization**: Bio-oil is expected to undergo polymerization (solidification) over 2–15 years, after which it becomes immobile within the subsurface. Once solidified, it is locked in place by caprock integrity and well closure per UIC requirements, rendering it immobile on geological timescales.</w:t>
        <w:br/>
        <w:br/>
        <w:t>• **Density-Driven Stability**: Bio-oil is expected to be denser than surrounding subsurface brine and oil/gas, causing it to sink and remain stratified at the bottom of the formation. This eliminates buoyancy-driven migration risk—a primary concern for CO₂ sequestration.</w:t>
        <w:br/>
        <w:br/>
        <w:t>• **Low Reactivity**: Bench-scale research cited in the Isometric module (Charm Industrial's own work) demonstrates minimal rock-fluid reactivity (&lt;5% weight loss in sandstone, &lt;3% in dolomite). This constrains pathways for fracture/fault-driven migration.</w:t>
        <w:br/>
        <w:br/>
        <w:t>• **Microbial Constraints**: Bio-oil's low pH, limited nutrient availability, and non-wettability in subsurface formations limit microbial degradation and gas formation. Any residual gas production would be confined by caprock, preventing atmospheric release.</w:t>
        <w:br/>
        <w:br/>
        <w:t>These mechanisms support permanence comparable to or exceeding that of other low-risk storage pathways currently approved at the 2% buffer level.</w:t>
      </w:r>
    </w:p>
    <w:p/>
    <w:p>
      <w:pPr>
        <w:pStyle w:val="Heading1"/>
      </w:pPr>
      <w:r>
        <w:rPr>
          <w:sz w:val="24"/>
        </w:rPr>
        <w:t>Comparison to Salt Cavern Storage (Vaulted Deep)</w:t>
      </w:r>
    </w:p>
    <w:p>
      <w:pPr/>
      <w:r>
        <w:t>Isometric's current risk classifications are:</w:t>
        <w:br/>
        <w:br/>
        <w:t>• **Vaulted Deep (Salt Cavern)**: Very Low Risk → 2% buffer</w:t>
        <w:br/>
        <w:t xml:space="preserve">  - Salt caverns are impermeable, forming closed systems</w:t>
        <w:br/>
        <w:t xml:space="preserve">  - Reversal risk is limited to loss of cavern or well integrity</w:t>
        <w:br/>
        <w:t xml:space="preserve">  - No documented history of reversals at the technology level</w:t>
        <w:br/>
        <w:br/>
        <w:t>• **Basco 6 (Permeable Reservoir)**: Low Risk → 5% buffer</w:t>
        <w:br/>
        <w:t xml:space="preserve">  - Reversals would require loss of caprock or well integrity</w:t>
        <w:br/>
        <w:t xml:space="preserve">  - No documented reversals at Basco 6 or comparable operations</w:t>
        <w:br/>
        <w:t xml:space="preserve">  - Potential for gas formation is mitigated by confinement and monitoring</w:t>
        <w:br/>
        <w:br/>
        <w:t>The differentiating factor is the geology's impermeability. However, Basco 6's confining layers and demonstrated caprock integrity provide equivalent geological containment. The risk pathways are isomorphic: both rely on caprock integrity and well closure. Basco 6's additional monitoring infrastructure (given the permeable formation context) provides *greater transparency* into system behavior than the closed-system nature of salt caverns allows.</w:t>
        <w:br/>
        <w:br/>
        <w:t>Under this logic, Basco 6 merits the 2% buffer applied to Vaulted Deep.</w:t>
      </w:r>
    </w:p>
    <w:p/>
    <w:p>
      <w:pPr>
        <w:pStyle w:val="Heading1"/>
      </w:pPr>
      <w:r>
        <w:rPr>
          <w:sz w:val="24"/>
        </w:rPr>
        <w:t>Risk Mitigation and Monitoring Safeguards</w:t>
      </w:r>
    </w:p>
    <w:p>
      <w:pPr/>
      <w:r>
        <w:t>A 2% buffer does not imply removal of monitoring or risk management. The following safeguards remain in place:</w:t>
        <w:br/>
        <w:br/>
        <w:t>1. **Continued Monitoring**: Injection and post-injection monitoring per Isometric module requirements and Louisiana Class II UIC regulations remain mandatory.</w:t>
        <w:br/>
        <w:br/>
        <w:t>2. **Adaptive Management**: Should monitoring data reveal anomalies (pressure spikes, unexpected migration, gas formation), the risk profile can be reassessed and buffer adjustments made prospectively.</w:t>
        <w:br/>
        <w:br/>
        <w:t>3. **Closure and Abandonment**: Upon injection cessation, the well will be properly plugged and abandoned per EPA and State standards, permanently isolating the storage zone.</w:t>
        <w:br/>
        <w:br/>
        <w:t>4. **Insurance Mechanism Preserved**: A 2% buffer pool continues to serve as an insurance mechanism for future reversals, consistent with Isometric Registry practice across all approved storage modalities.</w:t>
        <w:br/>
        <w:br/>
        <w:t>The reduction from 5% to 2% does not undermine these safeguards—it recalibrates them to match the actual risk profile supported by data.</w:t>
      </w:r>
    </w:p>
    <w:p/>
    <w:p>
      <w:pPr>
        <w:pStyle w:val="Heading1"/>
      </w:pPr>
      <w:r>
        <w:rPr>
          <w:sz w:val="24"/>
        </w:rPr>
        <w:t>Conclusion</w:t>
      </w:r>
    </w:p>
    <w:p>
      <w:pPr/>
      <w:r>
        <w:t>Charm Industrial respectfully requests that Isometric adjust Basco 6's buffer pool rate to 2%, recognizing:</w:t>
        <w:br/>
        <w:br/>
        <w:t>• Seven months of incident-free operation with zero reversals</w:t>
        <w:br/>
        <w:t>• Robust geological containment equivalent in function to salt caverns</w:t>
        <w:br/>
        <w:t>• Comprehensive monitoring data supporting low-risk profiles</w:t>
        <w:br/>
        <w:t>• Bio-oil permanence mechanisms well-established in the literature and in our operational experience</w:t>
        <w:br/>
        <w:t>• Precautions and safeguards remaining in place</w:t>
        <w:br/>
        <w:br/>
        <w:t>This adjustment reflects the actual risk profile demonstrated by data while maintaining the conservative stance appropriate to emerging storage technologies. We remain committed to transparent reporting, adaptive management, and full compliance with Isometric and regulatory standards.</w:t>
      </w:r>
    </w:p>
    <w:p/>
    <w:p/>
    <w:p>
      <w:pPr>
        <w:spacing w:before="240"/>
      </w:pPr>
    </w:p>
    <w:p>
      <w:pPr/>
      <w:r>
        <w:t>Max Lavine</w:t>
      </w:r>
    </w:p>
    <w:p>
      <w:pPr/>
      <w:r>
        <w:t>Carbon Protocol and Verification Lead</w:t>
      </w:r>
    </w:p>
    <w:p>
      <w:pPr/>
      <w:r>
        <w:t>Charm Industrial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