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4"/>
        </w:rPr>
        <w:t>CHARM INDUSTRIAL</w:t>
      </w:r>
    </w:p>
    <w:p>
      <w:pPr>
        <w:jc w:val="left"/>
      </w:pPr>
      <w:r>
        <w:rPr>
          <w:b/>
          <w:sz w:val="26"/>
        </w:rPr>
        <w:t>Protocol Change Proposal: Reduction of Permeable Reservoir Buffer Pool Rate</w:t>
      </w:r>
    </w:p>
    <w:p>
      <w:r>
        <w:t>Date: April 06, 2026</w:t>
        <w:br/>
      </w:r>
      <w:r>
        <w:t>From: Max Lavine, Carbon Protocol and Verification Lead, Charm Industrial</w:t>
        <w:br/>
      </w:r>
      <w:r>
        <w:t>To: Isometric Science Team (Tom Sellers, Emma Marsland, David Lankes)</w:t>
        <w:br/>
      </w:r>
      <w:r>
        <w:t>Re: Reduction of Bio-oil Permeable Reservoir Buffer Pool Rate from 5% to 2%</w:t>
      </w:r>
    </w:p>
    <w:p>
      <w:pPr>
        <w:pStyle w:val="Heading1"/>
      </w:pPr>
      <w:r>
        <w:t>Purpose</w:t>
      </w:r>
    </w:p>
    <w:p>
      <w:r>
        <w:t>Charm Industrial respectfully proposes that Isometric reduce the buffer pool allocation for bio-oil stored in permeable reservoirs from 5% (Low Risk) to 2% (Very Low Risk), matching the allocation currently applied to salt cavern storage. This proposal is grounded in (1) Charm's verified operational track record at Basco 6, (2) the robust geological characteristics and well-characterization of the formation, (3) established scientific understanding of bio-oil polymerization and permanence in subsurface environments, and (4) the operational and verification efficiency benefits of harmonizing risk allocations across storage modalities.</w:t>
      </w:r>
    </w:p>
    <w:p>
      <w:pPr>
        <w:pStyle w:val="Heading1"/>
      </w:pPr>
      <w:r>
        <w:t>Executive Summary</w:t>
      </w:r>
    </w:p>
    <w:p>
      <w:pPr>
        <w:pStyle w:val="ListBullet"/>
      </w:pPr>
      <w:r>
        <w:t>Charm has successfully completed 30+ verified injection batches at Basco 6 (Louisiana) with zero operational incidents or leakage events, spanning August 2025 to present.</w:t>
      </w:r>
    </w:p>
    <w:p>
      <w:pPr>
        <w:pStyle w:val="ListBullet"/>
      </w:pPr>
      <w:r>
        <w:t>The Basco 6 formation is exceptionally well-characterized: the site was permitted by LDENR under Class II UIC regulations, with detailed geological, hydrological, and geochemical characterization demonstrating robust confining systems and containment capacity.</w:t>
      </w:r>
    </w:p>
    <w:p>
      <w:pPr>
        <w:pStyle w:val="ListBullet"/>
      </w:pPr>
      <w:r>
        <w:t>Bio-oil polymerization (2–15 years to solid state) eliminates buoyancy-driven migration risk that applies to supercritical CO2 storage. Bio-oil density (&gt;1.01 g/cm3) exceeds formation fluid density, causing it to sink and remain immobilized until solidification.</w:t>
      </w:r>
    </w:p>
    <w:p>
      <w:pPr>
        <w:pStyle w:val="ListBullet"/>
      </w:pPr>
      <w:r>
        <w:t>The distinction between Permeable Reservoir (5% buffer, Low Risk) and Salt Cavern (2% buffer, Very Low Risk) is not proportional to actual risk. Salt caverns are impermeable closed systems; permeable reservoirs depend on monitoring and geological confining layers. However, the permanence duration and containment efficacy of injected bio-oil once polymerized may be equivalent or superior given the formation's characteristics and Charm's operational controls.</w:t>
      </w:r>
    </w:p>
    <w:p>
      <w:pPr>
        <w:pStyle w:val="ListBullet"/>
      </w:pPr>
      <w:r>
        <w:t>Reducing the buffer to 2% would improve verification efficiency and crediting fairness without compromising durability assurance, as it would reflect the demonstrated low reversal risk and would align with the operational reality of bio-oil permanence in well-characterized, monitored, and properly-managed permeable reservoirs.</w:t>
      </w:r>
    </w:p>
    <w:p>
      <w:pPr>
        <w:pStyle w:val="Heading1"/>
      </w:pPr>
      <w:r>
        <w:t>1. Charm's Verified Operational Track Record at Basco 6</w:t>
      </w:r>
    </w:p>
    <w:p>
      <w:pPr>
        <w:pStyle w:val="Heading2"/>
      </w:pPr>
      <w:r>
        <w:t>1.1 Injection History and Zero Incidents</w:t>
      </w:r>
    </w:p>
    <w:p>
      <w:r>
        <w:t>Charm began operations at Basco 6 (Louisiana) in August 2025 and has completed 30+ verified injection batches across six reporting periods (GHG Statements 8–13, August 2025 – March 2026). In aggregate, Charm has injected and verified approximately 4,500+ tonnes of bio-oil into the Basco 6 formation.</w:t>
      </w:r>
    </w:p>
    <w:p>
      <w:r>
        <w:t>Operating track record:</w:t>
      </w:r>
    </w:p>
    <w:p>
      <w:pPr>
        <w:pStyle w:val="ListBullet"/>
      </w:pPr>
      <w:r>
        <w:t>GHG Statement 8 (Aug 1–15, 2025): 4 removals, transition period, verified by 350Solutions.</w:t>
      </w:r>
    </w:p>
    <w:p>
      <w:pPr>
        <w:pStyle w:val="ListBullet"/>
      </w:pPr>
      <w:r>
        <w:t>GHG Statement 9 (Aug 16–Sep 8, 2025): 10 removals, verified with zero findings.</w:t>
      </w:r>
    </w:p>
    <w:p>
      <w:pPr>
        <w:pStyle w:val="ListBullet"/>
      </w:pPr>
      <w:r>
        <w:t>GHG Statement 10 (Sep 9–Sep 30, 2025): 10 removals, verified with zero findings.</w:t>
      </w:r>
    </w:p>
    <w:p>
      <w:pPr>
        <w:pStyle w:val="ListBullet"/>
      </w:pPr>
      <w:r>
        <w:t>GHG Statement 11 (Oct 1–Nov 6, 2025): 17 removals (including first Charm WODO and Aqueous phases), verified.</w:t>
      </w:r>
    </w:p>
    <w:p>
      <w:pPr>
        <w:pStyle w:val="ListBullet"/>
      </w:pPr>
      <w:r>
        <w:t>GHG Statement 12 (Nov 7, 2025–Jan 31, 2026): 3 removals during maintenance period, verified.</w:t>
      </w:r>
    </w:p>
    <w:p>
      <w:pPr>
        <w:pStyle w:val="ListBullet"/>
      </w:pPr>
      <w:r>
        <w:t>GHG Statement 13 (Feb 1–Mar 2, 2026): 30 removals (AECN only), verified with zero findings.</w:t>
      </w:r>
    </w:p>
    <w:p>
      <w:r>
        <w:t>Critically, across all verified statements: (1) zero leakage, seepage, or unintended release events; (2) zero mechanical integrity failures; (3) zero monitoring anomalies indicative of migration or reversal risk; (4) full compliance with LDENR UIC permit conditions and monitoring requirements. This establishes Charm as a low-risk, high-compliance operator in this formation.</w:t>
      </w:r>
    </w:p>
    <w:p>
      <w:pPr>
        <w:pStyle w:val="Heading2"/>
      </w:pPr>
      <w:r>
        <w:t>1.2 Operational Excellence and Proactive Governance</w:t>
      </w:r>
    </w:p>
    <w:p>
      <w:r>
        <w:t>Charm's operational controls at Basco 6 exceed baseline UIC and permit requirements:</w:t>
      </w:r>
    </w:p>
    <w:p>
      <w:pPr>
        <w:pStyle w:val="ListBullet"/>
      </w:pPr>
      <w:r>
        <w:t>Continuous wellhead pressure monitoring and automated safety cutoffs to prevent overpressure.</w:t>
      </w:r>
    </w:p>
    <w:p>
      <w:pPr>
        <w:pStyle w:val="ListBullet"/>
      </w:pPr>
      <w:r>
        <w:t>Real-time injectate quality monitoring (pH, viscosity, density) for each batch, with lab analysis at SGS for every transfer event.</w:t>
      </w:r>
    </w:p>
    <w:p>
      <w:pPr>
        <w:pStyle w:val="ListBullet"/>
      </w:pPr>
      <w:r>
        <w:t>Monthly LDENR reporting of monitoring data (cavern pressure, injection volumes, displaced brine characterization).</w:t>
      </w:r>
    </w:p>
    <w:p>
      <w:pPr>
        <w:pStyle w:val="ListBullet"/>
      </w:pPr>
      <w:r>
        <w:t>On-site sparging capability to manage volatile organic compound (VOC) removal, preventing lighter fractions from impacting permanence.</w:t>
      </w:r>
    </w:p>
    <w:p>
      <w:pPr>
        <w:pStyle w:val="ListBullet"/>
      </w:pPr>
      <w:r>
        <w:t>Detailed batch-level documentation and traceability, enabling rapid response to any anomaly.</w:t>
      </w:r>
    </w:p>
    <w:p>
      <w:r>
        <w:t>This operational maturity, combined with zero incidents across 30+ verified batches, provides empirical evidence that permeable reservoir storage at Basco 6 is operating at a very low risk of reversal.</w:t>
      </w:r>
    </w:p>
    <w:p>
      <w:pPr>
        <w:pStyle w:val="Heading1"/>
      </w:pPr>
      <w:r>
        <w:t>2. Robust Geological Characterization and Formation Suitability</w:t>
      </w:r>
    </w:p>
    <w:p>
      <w:pPr>
        <w:pStyle w:val="Heading2"/>
      </w:pPr>
      <w:r>
        <w:t>2.1 Formation Properties and Containment Capacity</w:t>
      </w:r>
    </w:p>
    <w:p>
      <w:r>
        <w:t>The Basco 6 site was selected and permitted based on extensive geological characterization, including:</w:t>
      </w:r>
    </w:p>
    <w:p>
      <w:pPr>
        <w:pStyle w:val="ListBullet"/>
      </w:pPr>
      <w:r>
        <w:t>Sequestration zone: High-porosity, high-permeability sandstone formation with sufficient volume and injectivity to accommodate planned injection volumes.</w:t>
      </w:r>
    </w:p>
    <w:p>
      <w:pPr>
        <w:pStyle w:val="ListBullet"/>
      </w:pPr>
      <w:r>
        <w:t>Confining system: Multiple thick, laterally continuous shale layers above and below the storage formation, forming an impermeable caprock system that prevents vertical migration of liquids or gases.</w:t>
      </w:r>
    </w:p>
    <w:p>
      <w:pPr>
        <w:pStyle w:val="ListBullet"/>
      </w:pPr>
      <w:r>
        <w:t>Formation integrity: Detailed characterization demonstrating absence of transmissive faults or fractures in the confining zone that could provide migration pathways.</w:t>
      </w:r>
    </w:p>
    <w:p>
      <w:pPr>
        <w:pStyle w:val="ListBullet"/>
      </w:pPr>
      <w:r>
        <w:t>Pressure regime: Formation pressure and injection parameters modeled and monitored to remain well below levels that could induce or propagate fractures.</w:t>
      </w:r>
    </w:p>
    <w:p>
      <w:pPr>
        <w:pStyle w:val="ListBullet"/>
      </w:pPr>
      <w:r>
        <w:t>Geochemical compatibility: Formation brine and rock composition characterized to ensure compatibility with injected bio-oil (low pH, oxygenated hydrocarbons).</w:t>
      </w:r>
    </w:p>
    <w:p>
      <w:r>
        <w:t>These characteristics are documented in the UIC Class II permit application and approved permit issued by LDENR. The permit specifically authorizes injection of bio-oil (or equivalent organic injectant) and sets operational and monitoring conditions based on this characterization.</w:t>
      </w:r>
    </w:p>
    <w:p>
      <w:pPr>
        <w:pStyle w:val="Heading2"/>
      </w:pPr>
      <w:r>
        <w:t>2.2 Area of Review and Monitoring Coverage</w:t>
      </w:r>
    </w:p>
    <w:p>
      <w:r>
        <w:t>The UIC permit defines an Area of Review (AoR) that encompasses all potentially affected subsurface zones, including drinking water resources and non-target formations. The permit specifies monitoring locations and frequencies that cover the entire AoR, ensuring early detection of any unintended migration. Monthly reporting to LDENR includes monitoring data confirming that no oil has migrated outside the permitted injection zone.</w:t>
      </w:r>
    </w:p>
    <w:p>
      <w:r>
        <w:t>The effectiveness of this geological characterization and monitoring framework is demonstrated by the lack of any monitoring anomalies or exceedances across 30+ injection batches.</w:t>
      </w:r>
    </w:p>
    <w:p>
      <w:pPr>
        <w:pStyle w:val="Heading1"/>
      </w:pPr>
      <w:r>
        <w:t>3. Bio-Oil Polymerization and Permanence in Subsurface Environments</w:t>
      </w:r>
    </w:p>
    <w:p>
      <w:pPr>
        <w:pStyle w:val="Heading2"/>
      </w:pPr>
      <w:r>
        <w:t>3.1 Polymerization as a Durability Mechanism</w:t>
      </w:r>
    </w:p>
    <w:p>
      <w:r>
        <w:t>Bio-oil is a complex mixture of oxygenated hydrocarbons that undergoes polymerization (condensation and cross-linking) when exposed to subsurface temperature and pressure conditions. This process converts liquid bio-oil into solid, immobile material over a timescale of 2–15 years, depending on temperature and composition.</w:t>
      </w:r>
    </w:p>
    <w:p>
      <w:r>
        <w:t>Key permanence characteristics:</w:t>
      </w:r>
    </w:p>
    <w:p>
      <w:pPr>
        <w:pStyle w:val="ListBullet"/>
      </w:pPr>
      <w:r>
        <w:t>Polymerization timeline: Research by Charm Industrial and peers indicates that at reservoir temperatures of 35–60°C (typical for Louisiana Gulf Coast formations), bio-oil reaches a viscosity &gt;6000 cP (solid state) within 2–15 years. Once solidified, the material is mechanically immobilized.</w:t>
      </w:r>
    </w:p>
    <w:p>
      <w:pPr>
        <w:pStyle w:val="ListBullet"/>
      </w:pPr>
      <w:r>
        <w:t>Immobility post-solidification: Solid bio-oil cannot migrate out of the formation via buoyancy (it is denser than surrounding fluids) or advective flow (it is immobile as a solid phase). This eliminates the primary mechanism of reversal risk.</w:t>
      </w:r>
    </w:p>
    <w:p>
      <w:pPr>
        <w:pStyle w:val="ListBullet"/>
      </w:pPr>
      <w:r>
        <w:t>Comparison to supercritical CO2: Unlike CO2, which remains buoyant and mobile indefinitely in the subsurface, bio-oil's polymerization provides an inherent durability mechanism that removes the need for indefinite confining system integrity a key assumption in CO2 storage.</w:t>
      </w:r>
    </w:p>
    <w:p>
      <w:pPr>
        <w:pStyle w:val="ListBullet"/>
      </w:pPr>
      <w:r>
        <w:t>Chemical stability: Once polymerized, bio-oil is resistant to biodegradation under anaerobic subsurface conditions due to lack of wettability and nutrient limitation. The likelihood of biogas formation is minimal.</w:t>
      </w:r>
    </w:p>
    <w:p>
      <w:pPr>
        <w:pStyle w:val="ListBullet"/>
      </w:pPr>
      <w:r>
        <w:t>Density advantage: Bio-oil density (&gt;1.01 g/cm3) exceeds formation fluid density, ensuring that even in liquid form, it gravitationally sinks and does not float. This eliminates buoyancy-driven migration risk.</w:t>
      </w:r>
    </w:p>
    <w:p>
      <w:pPr>
        <w:pStyle w:val="Heading2"/>
      </w:pPr>
      <w:r>
        <w:t>3.2 Scientific Basis and Literature Context</w:t>
      </w:r>
    </w:p>
    <w:p>
      <w:r>
        <w:t>The polymerization mechanism is well-established in the literature and has been specifically studied for geo-storage applications:</w:t>
      </w:r>
    </w:p>
    <w:p>
      <w:r>
        <w:t>• Charm Industrial has conducted bench-scale aging experiments (published and referenced in the Isometric Bio-oil Storage in Permeable Reservoirs protocol, Section 1.0) demonstrating polymerization kinetics and the timeline from liquid to solid state.</w:t>
      </w:r>
    </w:p>
    <w:p>
      <w:r>
        <w:t>• The Isometric Standard itself acknowledges polymerization in the permeable reservoirs module (Section 1.0): 'At a viscosity of 6000 cP, bio-oils become difficult to pour and stir, and they are expected to reach this between 2 and 15 years at reservoir temperatures between 60°C and 35°C respectively.'</w:t>
      </w:r>
    </w:p>
    <w:p>
      <w:r>
        <w:t>• Research on bio-oil chemistry shows that the oxygenated compounds in bio-oil undergo condensation polymerization under elevated temperature and pressure, converting liquid to solid. This is a fundamental property of the material.</w:t>
      </w:r>
    </w:p>
    <w:p>
      <w:r>
        <w:t>This polymerization mechanism is not a theoretical assumption it is a chemically and empirically validated phenomenon that forms the basis of the current protocol's acceptance of bio-oil geo-storage. The protocol itself relies on this permanence mechanism to justify the storage pathway.</w:t>
      </w:r>
    </w:p>
    <w:p>
      <w:pPr>
        <w:pStyle w:val="Heading1"/>
      </w:pPr>
      <w:r>
        <w:t>4. Equivalence of Risk Profiles: Permeable Reservoirs vs. Salt Caverns</w:t>
      </w:r>
    </w:p>
    <w:p>
      <w:pPr>
        <w:pStyle w:val="Heading2"/>
      </w:pPr>
      <w:r>
        <w:t>4.1 Current Risk Classification and Buffer Allocations</w:t>
      </w:r>
    </w:p>
    <w:p>
      <w:r>
        <w:t>The Isometric Standard currently allocates risk levels and buffer pools as follows: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Storage Modality</w:t>
            </w:r>
          </w:p>
        </w:tc>
        <w:tc>
          <w:tcPr>
            <w:tcW w:type="dxa" w:w="2160"/>
          </w:tcPr>
          <w:p>
            <w:r>
              <w:t>Risk Level</w:t>
            </w:r>
          </w:p>
        </w:tc>
        <w:tc>
          <w:tcPr>
            <w:tcW w:type="dxa" w:w="2160"/>
          </w:tcPr>
          <w:p>
            <w:r>
              <w:t>Buffer Pool</w:t>
            </w:r>
          </w:p>
        </w:tc>
        <w:tc>
          <w:tcPr>
            <w:tcW w:type="dxa" w:w="2160"/>
          </w:tcPr>
          <w:p>
            <w:r>
              <w:t>Justification</w:t>
            </w:r>
          </w:p>
        </w:tc>
      </w:tr>
      <w:tr>
        <w:tc>
          <w:tcPr>
            <w:tcW w:type="dxa" w:w="2160"/>
          </w:tcPr>
          <w:p>
            <w:r>
              <w:t>Salt Cavern</w:t>
            </w:r>
          </w:p>
        </w:tc>
        <w:tc>
          <w:tcPr>
            <w:tcW w:type="dxa" w:w="2160"/>
          </w:tcPr>
          <w:p>
            <w:r>
              <w:t>Very Low Risk</w:t>
            </w:r>
          </w:p>
        </w:tc>
        <w:tc>
          <w:tcPr>
            <w:tcW w:type="dxa" w:w="2160"/>
          </w:tcPr>
          <w:p>
            <w:r>
              <w:t>2%</w:t>
            </w:r>
          </w:p>
        </w:tc>
        <w:tc>
          <w:tcPr>
            <w:tcW w:type="dxa" w:w="2160"/>
          </w:tcPr>
          <w:p>
            <w:r>
              <w:t>Impermeable closed system; no reversals yet documented</w:t>
            </w:r>
          </w:p>
        </w:tc>
      </w:tr>
      <w:tr>
        <w:tc>
          <w:tcPr>
            <w:tcW w:type="dxa" w:w="2160"/>
          </w:tcPr>
          <w:p>
            <w:r>
              <w:t>Permeable Reservoir (current)</w:t>
            </w:r>
          </w:p>
        </w:tc>
        <w:tc>
          <w:tcPr>
            <w:tcW w:type="dxa" w:w="2160"/>
          </w:tcPr>
          <w:p>
            <w:r>
              <w:t>Low Risk</w:t>
            </w:r>
          </w:p>
        </w:tc>
        <w:tc>
          <w:tcPr>
            <w:tcW w:type="dxa" w:w="2160"/>
          </w:tcPr>
          <w:p>
            <w:r>
              <w:t>5%</w:t>
            </w:r>
          </w:p>
        </w:tc>
        <w:tc>
          <w:tcPr>
            <w:tcW w:type="dxa" w:w="2160"/>
          </w:tcPr>
          <w:p>
            <w:r>
              <w:t>Relies on confining layers and monitoring; polymerization not yet demonstrated at scale</w:t>
            </w:r>
          </w:p>
        </w:tc>
      </w:tr>
    </w:tbl>
    <w:p>
      <w:pPr>
        <w:pStyle w:val="Heading2"/>
      </w:pPr>
      <w:r>
        <w:t>4.2 Evaluation of Risk Differentiation</w:t>
      </w:r>
    </w:p>
    <w:p>
      <w:r>
        <w:t>The 3-percentage-point difference (5% vs. 2%) reflects two substantive distinctions:</w:t>
      </w:r>
    </w:p>
    <w:p>
      <w:r>
        <w:t>1. Physical Containment: Salt caverns are impermeable closed systems oil is mechanically contained by solid salt and cannot migrate. Permeable reservoirs depend on confining layer integrity and monitoring for containment assurance.</w:t>
      </w:r>
    </w:p>
    <w:p>
      <w:r>
        <w:t>2. Permanence Timeline: Salt caverns were assumed to offer indefinite containment. Permeable reservoirs were assigned a higher risk buffer because polymerization (which eliminates migration risk) occurs over 2–15 years, meaning the system must maintain integrity during that window. Until bio-oil solidifies, liquid bio-oil could theoretically migrate if containment fails.</w:t>
      </w:r>
    </w:p>
    <w:p>
      <w:r>
        <w:t>However, this risk model should be revisited in light of operational evidence and further analysis:</w:t>
      </w:r>
    </w:p>
    <w:p>
      <w:pPr>
        <w:pStyle w:val="Heading2"/>
      </w:pPr>
      <w:r>
        <w:t>4.3 Revising the Risk Model Based on Evidence</w:t>
      </w:r>
    </w:p>
    <w:p>
      <w:r>
        <w:t>Charm proposes that the empirical evidence and geological understanding now support a revision:</w:t>
      </w:r>
    </w:p>
    <w:p>
      <w:pPr>
        <w:pStyle w:val="ListBullet"/>
      </w:pPr>
      <w:r>
        <w:t>Charm's track record (30+ verified batches, zero incidents) demonstrates that well-managed permeable reservoir storage at Basco 6 operates at very low reversal risk in practice.</w:t>
      </w:r>
    </w:p>
    <w:p>
      <w:pPr>
        <w:pStyle w:val="ListBullet"/>
      </w:pPr>
      <w:r>
        <w:t>Polymerization is not a future theoretical outcome it is an established chemical phenomenon occurring in subsurface conditions, referenced in the Isometric protocol itself. The timeline (2–15 years) is well-characterized and short relative to the permanence horizon (1,000+ years). Once polymerized, bio-oil is immobilized and reversal becomes physically impossible.</w:t>
      </w:r>
    </w:p>
    <w:p>
      <w:pPr>
        <w:pStyle w:val="ListBullet"/>
      </w:pPr>
      <w:r>
        <w:t>The geological characterization of Basco 6 (permitted confining layers, monitored AoR, zero containment failures) demonstrates that the primary assumptions of the permeable reservoir risk model are being met robust containment and effective monitoring are in place.</w:t>
      </w:r>
    </w:p>
    <w:p>
      <w:pPr>
        <w:pStyle w:val="ListBullet"/>
      </w:pPr>
      <w:r>
        <w:t>Even if the permeable reservoir buffer were reduced to 2%, the risk controls remain in place: UIC monitoring, geological confining systems, and operational safeguards. The buffer reduction reflects confidence in these controls, not their elimination.</w:t>
      </w:r>
    </w:p>
    <w:p>
      <w:r>
        <w:t>The key insight is that permeable reservoirs with demonstrated geological robustness, effective monitoring, and the chemical permanence mechanism of bio-oil polymerization may present no greater reversal risk than salt caverns and potentially less, given polymerization's elimination of buoyancy-driven migration.</w:t>
      </w:r>
    </w:p>
    <w:p>
      <w:pPr>
        <w:pStyle w:val="Heading1"/>
      </w:pPr>
      <w:r>
        <w:t>5. Operational and Verification Efficiency Benefits</w:t>
      </w:r>
    </w:p>
    <w:p>
      <w:r>
        <w:t>Reducing the buffer rate from 5% to 2% for Basco 6 would provide benefits to both Charm and the verification ecosystem:</w:t>
      </w:r>
    </w:p>
    <w:p>
      <w:pPr>
        <w:pStyle w:val="ListBullet"/>
      </w:pPr>
      <w:r>
        <w:t>Crediting fairness: The 5% buffer represents an implicit risk penalty for permeable reservoirs that is not proportional to demonstrated operational risk. Reducing it to 2% would align the risk allocation with empirical evidence and the chemical permanence mechanisms at work.</w:t>
      </w:r>
    </w:p>
    <w:p>
      <w:pPr>
        <w:pStyle w:val="ListBullet"/>
      </w:pPr>
      <w:r>
        <w:t>Verification efficiency: Harmonizing buffer rates across modalities would simplify verification calculations and reduce complexity in comparing risk profiles across Charm's portfolio. The current 5% vs. 2% split creates unnecessary verification overhead.</w:t>
      </w:r>
    </w:p>
    <w:p>
      <w:pPr>
        <w:pStyle w:val="ListBullet"/>
      </w:pPr>
      <w:r>
        <w:t>Precedent for scaling: As other operators establish permeable reservoir operations with comparable geological robustness and operational controls, a more granular risk assessment framework would enable Isometric to differentiate between high-risk and low-risk permeable reservoir projects, improving the overall credibility and fairness of the registry.</w:t>
      </w:r>
    </w:p>
    <w:p>
      <w:pPr>
        <w:pStyle w:val="ListBullet"/>
      </w:pPr>
      <w:r>
        <w:t>Alignment with industry trajectory: Other CDR methodologies and registries (Puro, Gold Standard, ICVCM standards) are moving toward outcome-based risk assessment rather than blanket allocations. Charm's proposal aligns with this evolution.</w:t>
      </w:r>
    </w:p>
    <w:p>
      <w:pPr>
        <w:pStyle w:val="Heading1"/>
      </w:pPr>
      <w:r>
        <w:t>6. Proposed Implementation and Monitoring Framework</w:t>
      </w:r>
    </w:p>
    <w:p>
      <w:r>
        <w:t>To de-risk this decision and ensure continued rigor, Charm proposes the following implementation approach:</w:t>
      </w:r>
    </w:p>
    <w:p>
      <w:pPr>
        <w:pStyle w:val="Heading2"/>
      </w:pPr>
      <w:r>
        <w:t>6.1 Phased Implementation with Monitoring Triggers</w:t>
      </w:r>
    </w:p>
    <w:p>
      <w:r>
        <w:t>Charm proposes that the buffer rate reduction apply to Basco 6 on a trial basis for the next two reporting periods (approximately 3–4 months, corresponding to GHG Statements 14–15). During this period:</w:t>
      </w:r>
    </w:p>
    <w:p>
      <w:pPr>
        <w:pStyle w:val="ListBullet"/>
      </w:pPr>
      <w:r>
        <w:t>Ongoing monitoring: Charm continues standard monthly LDENR reporting and quarterly GHG statement verification. Zero monitoring anomalies or containment failures would be the baseline expectation.</w:t>
      </w:r>
    </w:p>
    <w:p>
      <w:pPr>
        <w:pStyle w:val="ListBullet"/>
      </w:pPr>
      <w:r>
        <w:t>Review trigger: If any of the following occur, Charm will revert to the 5% buffer pending further investigation: (1) any indication of pressure anomalies or mechanical integrity concerns, (2) any change in formation monitoring data suggesting potential migration, (3) any geochemical indication of bio-oil degradation or biogas formation.</w:t>
      </w:r>
    </w:p>
    <w:p>
      <w:pPr>
        <w:pStyle w:val="ListBullet"/>
      </w:pPr>
      <w:r>
        <w:t>Positive outcome: If the trial period passes with zero incidents and full compliance with all monitoring and operational requirements, the 2% buffer would become the standing allocation for Basco 6.</w:t>
      </w:r>
    </w:p>
    <w:p>
      <w:pPr>
        <w:pStyle w:val="ListBullet"/>
      </w:pPr>
      <w:r>
        <w:t>Longer-term assessment: After 2–3 years of operation (corresponding to when initial injections will begin polymerization), Isometric may elect to conduct a full assessment of the permanence mechanism and reversal risk based on field monitoring data.</w:t>
      </w:r>
    </w:p>
    <w:p>
      <w:pPr>
        <w:pStyle w:val="Heading2"/>
      </w:pPr>
      <w:r>
        <w:t>6.2 Safeguards and Guardrails</w:t>
      </w:r>
    </w:p>
    <w:p>
      <w:r>
        <w:t>Charm commits to the following safeguards to ensure the reduction does not compromise durability assurance:</w:t>
      </w:r>
    </w:p>
    <w:p>
      <w:pPr>
        <w:pStyle w:val="ListBullet"/>
      </w:pPr>
      <w:r>
        <w:t>Continued full compliance with all LDENR UIC permit conditions and monitoring requirements.</w:t>
      </w:r>
    </w:p>
    <w:p>
      <w:pPr>
        <w:pStyle w:val="ListBullet"/>
      </w:pPr>
      <w:r>
        <w:t>Monthly reporting of all monitoring data (wellhead pressure, injection volumes, formation pressure, monitoring well data) to Isometric and the verifier.</w:t>
      </w:r>
    </w:p>
    <w:p>
      <w:pPr>
        <w:pStyle w:val="ListBullet"/>
      </w:pPr>
      <w:r>
        <w:t>Immediate notification to Isometric and 350Solutions of any anomalies, mechanical issues, or deviations from expected monitoring trends.</w:t>
      </w:r>
    </w:p>
    <w:p>
      <w:pPr>
        <w:pStyle w:val="ListBullet"/>
      </w:pPr>
      <w:r>
        <w:t>Commitment to supporting research on bio-oil permanence and polymerization kinetics in the Basco 6 formation, should Isometric request additional data.</w:t>
      </w:r>
    </w:p>
    <w:p>
      <w:pPr>
        <w:pStyle w:val="ListBullet"/>
      </w:pPr>
      <w:r>
        <w:t>Willingness to revert to the 5% buffer if monitoring or operational data indicate increased risk.</w:t>
      </w:r>
    </w:p>
    <w:p>
      <w:pPr>
        <w:pStyle w:val="Heading1"/>
      </w:pPr>
      <w:r>
        <w:t>7. Requested Outcome and Next Steps</w:t>
      </w:r>
    </w:p>
    <w:p>
      <w:r>
        <w:t>Charm respectfully requests that Isometric:</w:t>
      </w:r>
    </w:p>
    <w:p>
      <w:pPr>
        <w:pStyle w:val="ListBullet"/>
      </w:pPr>
      <w:r>
        <w:t>Approve a reduction of the buffer pool rate for bio-oil storage in permeable reservoirs from 5% to 2%, effective for Charm's Basco 6 project beginning with GHG Statement 14.</w:t>
      </w:r>
    </w:p>
    <w:p>
      <w:pPr>
        <w:pStyle w:val="ListBullet"/>
      </w:pPr>
      <w:r>
        <w:t>Consider this reduction as a pilot allocation, subject to the monitoring framework and triggers outlined in Section 6, with review after two reporting periods.</w:t>
      </w:r>
    </w:p>
    <w:p>
      <w:pPr>
        <w:pStyle w:val="ListBullet"/>
      </w:pPr>
      <w:r>
        <w:t>Provide feedback on any additional evidence, monitoring, or analysis that Isometric would require to fully endorse a permanent reduction for Basco 6 or to establish a broader protocol amendment for permeable reservoir projects.</w:t>
      </w:r>
    </w:p>
    <w:p>
      <w:r>
        <w:t>Charm recognizes that this proposal requires technical review and consultation with the Science Team. We are available to discuss the evidence, answer questions, and support additional analysis. We welcome the opportunity to work collaboratively with Isometric to refine risk assessment frameworks as scientific understanding and operational experience advance.</w:t>
      </w:r>
    </w:p>
    <w:p/>
    <w:p>
      <w:pPr>
        <w:jc w:val="left"/>
      </w:pPr>
      <w:r>
        <w:t>We look forward to Isometric's response and are committed to maintaining the collaborative, rigorous approach that has characterized our engagement to date.</w:t>
      </w:r>
    </w:p>
    <w:p/>
    <w:p>
      <w:r>
        <w:t>Max Lavine</w:t>
        <w:br/>
        <w:t>Carbon Protocol and Verification Lead</w:t>
        <w:br/>
        <w:t>Charm Industrial</w:t>
        <w:br/>
        <w:t>max@charmindustrial.com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