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4"/>
        </w:rPr>
        <w:t>GUIDANCE REQUEST: Eligible Forest Biomass Evidence Requirements for</w:t>
      </w:r>
    </w:p>
    <w:p>
      <w:pPr>
        <w:spacing w:after="120"/>
      </w:pPr>
      <w:r>
        <w:rPr>
          <w:b/>
          <w:sz w:val="24"/>
        </w:rPr>
        <w:t>Private Forest Thinning Operations in Oregon</w:t>
      </w:r>
    </w:p>
    <w:p>
      <w:pPr>
        <w:spacing w:after="240"/>
      </w:pPr>
      <w:r>
        <w:rPr>
          <w:i/>
          <w:sz w:val="22"/>
        </w:rPr>
        <w:t>Biomass Feedstock Accounting Module v1.3 — Sustainability Criteria &amp; Counterfactual Storage</w:t>
      </w:r>
    </w:p>
    <w:tbl>
      <w:tblPr>
        <w:tblStyle w:val="LightGrid-Accent1"/>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6192"/>
      </w:tblGrid>
      <w:tr>
        <w:tc>
          <w:tcPr>
            <w:tcW w:type="dxa" w:w="4680"/>
          </w:tcPr>
          <w:p>
            <w:r>
              <w:t>From:</w:t>
            </w:r>
          </w:p>
        </w:tc>
        <w:tc>
          <w:tcPr>
            <w:tcW w:type="dxa" w:w="4680"/>
          </w:tcPr>
          <w:p>
            <w:r>
              <w:t>Max Lavine, Carbon Protocol and Verification Lead, Charm Industrial</w:t>
            </w:r>
          </w:p>
        </w:tc>
      </w:tr>
      <w:tr>
        <w:tc>
          <w:tcPr>
            <w:tcW w:type="dxa" w:w="4680"/>
          </w:tcPr>
          <w:p>
            <w:r>
              <w:t>To:</w:t>
            </w:r>
          </w:p>
        </w:tc>
        <w:tc>
          <w:tcPr>
            <w:tcW w:type="dxa" w:w="4680"/>
          </w:tcPr>
          <w:p>
            <w:r>
              <w:t>Isometric Science Team</w:t>
            </w:r>
          </w:p>
        </w:tc>
      </w:tr>
      <w:tr>
        <w:tc>
          <w:tcPr>
            <w:tcW w:type="dxa" w:w="4680"/>
          </w:tcPr>
          <w:p>
            <w:r>
              <w:t>Date:</w:t>
            </w:r>
          </w:p>
        </w:tc>
        <w:tc>
          <w:tcPr>
            <w:tcW w:type="dxa" w:w="4680"/>
          </w:tcPr>
          <w:p>
            <w:r>
              <w:t>April 2026</w:t>
            </w:r>
          </w:p>
        </w:tc>
      </w:tr>
      <w:tr>
        <w:tc>
          <w:tcPr>
            <w:tcW w:type="dxa" w:w="4680"/>
          </w:tcPr>
          <w:p>
            <w:r>
              <w:t>Re:</w:t>
            </w:r>
          </w:p>
        </w:tc>
        <w:tc>
          <w:tcPr>
            <w:tcW w:type="dxa" w:w="4680"/>
          </w:tcPr>
          <w:p>
            <w:r>
              <w:t>Proposed flexibility for demonstrating feedstock eligibility when sourcing forest biomass from private forest thinning operations in Oregon</w:t>
            </w:r>
          </w:p>
        </w:tc>
      </w:tr>
      <w:tr>
        <w:tc>
          <w:tcPr>
            <w:tcW w:type="dxa" w:w="4680"/>
          </w:tcPr>
          <w:p>
            <w:r>
              <w:t>Protocol:</w:t>
            </w:r>
          </w:p>
        </w:tc>
        <w:tc>
          <w:tcPr>
            <w:tcW w:type="dxa" w:w="4680"/>
          </w:tcPr>
          <w:p>
            <w:r>
              <w:t>Biomass Feedstock Accounting Module v1.3, Sections SC1.1, SC1.2, SC1.3, CC2</w:t>
            </w:r>
          </w:p>
        </w:tc>
      </w:tr>
    </w:tbl>
    <w:p/>
    <w:p>
      <w:pPr>
        <w:pStyle w:val="Heading1"/>
        <w:spacing w:before="240" w:after="120"/>
      </w:pPr>
      <w:r>
        <w:t>1. Purpose</w:t>
      </w:r>
    </w:p>
    <w:p>
      <w:pPr>
        <w:spacing w:line="276" w:lineRule="auto" w:after="240"/>
      </w:pPr>
      <w:r>
        <w:t>Charm Industrial is developing feedstock sourcing relationships with forest biomass suppliers in Oregon whose operations focus on fuels reduction and forest health on private timberlands. As we expand our sourcing into Oregon, we have identified an important distinction: Oregon's private forest thinning operations operate under a different regulatory framework than Colorado's, yet the biomass itself—and its counterfactual fate—are operationally identical to what has already been approved under the "government mandated, managed or otherwise supported" exemption in Biomass Feedstock Accounting Module v1.3.</w:t>
        <w:br/>
        <w:br/>
        <w:t>This memo proposes that Isometric recognize Oregon's forest regulatory structure as satisfying the module's underlying policy objectives for wildfire mitigation and forest health work, building directly on the precedent established in Charm's Colorado biomass guidance approval.</w:t>
      </w:r>
    </w:p>
    <w:p>
      <w:pPr>
        <w:pStyle w:val="Heading1"/>
        <w:spacing w:before="240" w:after="120"/>
      </w:pPr>
      <w:r>
        <w:t>2. Oregon's Forest Regulatory Structure</w:t>
      </w:r>
    </w:p>
    <w:p>
      <w:pPr>
        <w:spacing w:line="276" w:lineRule="auto" w:after="180"/>
      </w:pPr>
      <w:r>
        <w:t>Oregon's private forest management is governed by the Oregon Forest Practices Act (ORS 527.610 et seq.) and administered by the Oregon Department of Forestry (ODF). Unlike Colorado, which relies on state and federal grant-funded wildfire mitigation programs, Oregon uses a prescriptive regulatory model in which private landowners conducting commercial timber operations—including fuels reduction—must comply with detailed forest practice standards.</w:t>
      </w:r>
    </w:p>
    <w:p>
      <w:pPr>
        <w:pStyle w:val="Heading2"/>
        <w:spacing w:before="120" w:after="120"/>
      </w:pPr>
      <w:r>
        <w:t>2.1 Notification of Operations and Forest Practice Standards</w:t>
      </w:r>
    </w:p>
    <w:p>
      <w:pPr>
        <w:spacing w:line="276" w:lineRule="auto" w:after="180"/>
      </w:pPr>
      <w:r>
        <w:t>Private landowners and timber operators conducting forest thinning in Oregon must file a Notification of Operations (NOO) with ODF prior to harvest. The NOO requires specification of:</w:t>
        <w:br/>
        <w:br/>
        <w:t>• Treatment objectives (stand density reduction, fuel reduction, forest health improvement)</w:t>
        <w:br/>
        <w:t>• Harvest acreage and stand location</w:t>
        <w:br/>
        <w:t>• Specific forest practice standards that will be applied (e.g., riparian buffers, slope protections, slash disposal methods)</w:t>
        <w:br/>
        <w:t>• Identification of the timber operator and any consulting forester involved</w:t>
        <w:br/>
        <w:br/>
        <w:t>ODF reviews the NOO to confirm compliance with forest practice standards outlined in OAR 629-623 (Protection of Water Resources), OAR 629-624 (Reforestation Standards), OAR 629-625 (Road Standards), and other applicable rules. This review is mandatory and is the regulatory equivalent of state agency oversight.</w:t>
      </w:r>
    </w:p>
    <w:p>
      <w:pPr>
        <w:pStyle w:val="Heading2"/>
        <w:spacing w:before="120" w:after="120"/>
      </w:pPr>
      <w:r>
        <w:t>2.2 Licensed Forester Involvement and Professional Accountability</w:t>
      </w:r>
    </w:p>
    <w:p>
      <w:pPr>
        <w:spacing w:line="276" w:lineRule="auto" w:after="180"/>
      </w:pPr>
      <w:r>
        <w:t>Many fuels reduction projects in Oregon—particularly those with conservation or forest health objectives—are designed and supervised by Licensed Foresters operating under ORS 672.005 et seq. Licensed Foresters in Oregon must be registered with the Oregon State Board of Forestry, maintain continuing education requirements, and adhere to a professional code of ethics. The forester's prescription is a binding document that specifies:</w:t>
        <w:br/>
        <w:br/>
        <w:t>• Pre-treatment stand conditions and post-treatment targets</w:t>
        <w:br/>
        <w:t>• Specific thinning parameters (residual basal area, target diameter, species retention)</w:t>
        <w:br/>
        <w:t>• Slash disposal methodology (pile burn, mastication, removal)</w:t>
        <w:br/>
        <w:t>• Monitoring and certification of compliance</w:t>
        <w:br/>
        <w:br/>
        <w:t>This professional accountability framework is functionally equivalent to the prescriptive oversight provided by state wildfire mitigation programs. The Licensed Forester's responsibility for prescription design and supervision creates enforceable professional obligations analogous to those embedded in government-managed programs.</w:t>
      </w:r>
    </w:p>
    <w:p>
      <w:pPr>
        <w:pStyle w:val="Heading2"/>
        <w:spacing w:before="120" w:after="120"/>
      </w:pPr>
      <w:r>
        <w:t>2.3 Wildfire Risk Assessment and High-Hazard Zone Mapping</w:t>
      </w:r>
    </w:p>
    <w:p>
      <w:pPr>
        <w:spacing w:line="276" w:lineRule="auto" w:after="180"/>
      </w:pPr>
      <w:r>
        <w:t>Oregon has invested heavily in wildfire risk mapping and assessment. The Oregon Wildfire Risk Explorer provides statewide mapping of wildfire hazard zones and risk designations. Additionally, many Oregon counties have developed Community Wildfire Protection Plans (CWPPs) under the Collaborative Forest Restoration Act (CFRA), which identify priority areas for fuels reduction on both public and private lands.</w:t>
        <w:br/>
        <w:br/>
        <w:t>Charm proposes to restrict sourcing to fuels reduction operations located in mapped high or very high wildfire hazard zones, further ensuring that the biomass is generated in service of genuine forest health and wildfire risk reduction objectives.</w:t>
      </w:r>
    </w:p>
    <w:p>
      <w:pPr>
        <w:pStyle w:val="Heading1"/>
        <w:spacing w:before="240" w:after="120"/>
      </w:pPr>
      <w:r>
        <w:t>3. Building on the Colorado Precedent</w:t>
      </w:r>
    </w:p>
    <w:p>
      <w:pPr>
        <w:spacing w:line="276" w:lineRule="auto" w:after="240"/>
      </w:pPr>
      <w:r>
        <w:t>Charm's April 2026 Guidance Request on Colorado forest biomass established that the "government mandated, managed or otherwise supported" exemption in BFA Module v1.3 should be read to include private entities executing government-funded wildfire mitigation work. In that engagement, Isometric clarified the language to encompass "state or federal implemented or funded forest wildfire mitigation activity."</w:t>
        <w:br/>
        <w:br/>
        <w:t>Oregon's regulatory framework differs in structure but achieves the same objectives through different institutional channels:</w:t>
        <w:br/>
        <w:br/>
        <w:t>• Colorado: Government-funded programs → state or federal implementation</w:t>
        <w:br/>
        <w:t>• Oregon: State-regulated private operations → professional forester oversight under state regulatory authority</w:t>
        <w:br/>
        <w:br/>
        <w:t>The counterfactual material, the silvicultural objectives, and the forest health outcomes are identical. What differs is the institutional pathway to authorization and oversight. Extending the "government managed or otherwise supported" exemption to Oregon's regulatory model is not a weakening of the module's criteria—it is a recognition that state regulatory frameworks beyond grant-funded programs can provide equivalent environmental accountability.</w:t>
      </w:r>
    </w:p>
    <w:p>
      <w:pPr>
        <w:pStyle w:val="Heading1"/>
        <w:spacing w:before="240" w:after="120"/>
      </w:pPr>
      <w:r>
        <w:t>4. Proposed Alternative Evidence Framework</w:t>
      </w:r>
    </w:p>
    <w:p>
      <w:pPr>
        <w:spacing w:line="276" w:lineRule="auto" w:after="180"/>
      </w:pPr>
      <w:r>
        <w:t>Charm proposes the following evidence pathway for private-land fuels reduction biomass in Oregon to satisfy Module requirements under SC1.1, SC1.2, and CC2:</w:t>
      </w:r>
    </w:p>
    <w:p>
      <w:pPr>
        <w:pStyle w:val="Heading2"/>
        <w:spacing w:before="120" w:after="120"/>
      </w:pPr>
      <w:r>
        <w:t>4.1 SC1.1 Sustainability Criteria — Alternative to Certification</w:t>
      </w:r>
    </w:p>
    <w:p>
      <w:pPr>
        <w:spacing w:line="276" w:lineRule="auto" w:after="180"/>
      </w:pPr>
      <w:r>
        <w:t>In lieu of FSC/PEFC/SFI certification, the following documentation package shall satisfy SC1.1 for Oregon private-land fuels reduction:</w:t>
        <w:br/>
        <w:br/>
        <w:t>1. Notification of Operations (NOO) filed with Oregon Department of Forestry, demonstrating:</w:t>
        <w:br/>
        <w:t xml:space="preserve">   • Regulatory authorization for harvest activity</w:t>
        <w:br/>
        <w:t xml:space="preserve">   • Compliance with Oregon Forest Practices Act standards</w:t>
        <w:br/>
        <w:t xml:space="preserve">   • Specification of forest practice standards applicable to the operation</w:t>
        <w:br/>
        <w:br/>
        <w:t>2. Licensed Forester Prescription or Forest Management Plan specifying:</w:t>
        <w:br/>
        <w:t xml:space="preserve">   • Pre-treatment stand conditions and treatment objectives</w:t>
        <w:br/>
        <w:t xml:space="preserve">   • Thinning parameters and expected outcomes</w:t>
        <w:br/>
        <w:t xml:space="preserve">   • Confirmation that the primary objective is forest health, stand density reduction, or wildfire risk mitigation (not commercial timber harvest with fuels reduction as incidental byproduct)</w:t>
        <w:br/>
        <w:br/>
        <w:t>3. Confirmation of Location in Mapped Wildfire Hazard Zone:</w:t>
        <w:br/>
        <w:t xml:space="preserve">   • Evidence that the treatment unit is located in a high or very high wildfire hazard zone as mapped by Oregon Wildfire Risk Explorer or equivalent state-level assessment</w:t>
        <w:br/>
        <w:t xml:space="preserve">   • Alternatively, confirmation that the treatment is identified as a priority in an adopted Community Wildfire Protection Plan</w:t>
        <w:br/>
        <w:br/>
        <w:t>Rationale: Oregon's regulatory framework—combining state Forest Practices Act oversight, Licensed Forester professional accountability, and wildfire hazard zone prioritization—provides equivalent assurance to third-party certification that harvesting activities are silviculturally sound and aligned with forest health objectives. This approach recognizes the actual institutional capacity through which Oregon regulates private forestry, rather than imposing a costly certification requirement that reflects different state regulatory models.</w:t>
      </w:r>
    </w:p>
    <w:p>
      <w:pPr>
        <w:pStyle w:val="Heading2"/>
        <w:spacing w:before="120" w:after="120"/>
      </w:pPr>
      <w:r>
        <w:t>4.2 SC1.2 Forest Carbon Stocks — Extension of Government Program Exemption</w:t>
      </w:r>
    </w:p>
    <w:p>
      <w:pPr>
        <w:spacing w:line="276" w:lineRule="auto" w:after="180"/>
      </w:pPr>
      <w:r>
        <w:t>For biomass sourced from forest thinning operations satisfying the SC1.1 evidence package above, Charm proposes that the SC1.2 government wildfire program exemption be extended to include the following:</w:t>
        <w:br/>
        <w:br/>
        <w:t>Fuels reduction treatments prescribed by a Licensed Forester and authorized under the Oregon Forest Practices Act, provided that:</w:t>
        <w:br/>
        <w:t xml:space="preserve">   • The forester's prescription identifies stand density reduction, ladder fuel removal, or defensible space creation as a primary objective</w:t>
        <w:br/>
        <w:t xml:space="preserve">   • The treatment unit is located in a mapped high or very high wildfire hazard zone (Oregon Wildfire Risk Explorer) or is identified as a priority in an adopted Community Wildfire Protection Plan</w:t>
        <w:br/>
        <w:br/>
        <w:t>Under this framework, the independent third-party assessment requirement in SC1.2 would not apply, consistent with how government-program biomass is treated.</w:t>
        <w:br/>
        <w:br/>
        <w:t>Rationale: Fuels reduction inherently involves short-term reduction of forest carbon stocks on the treated stand—that is its purpose. Requiring independent third-party verification of 5-year carbon stock stability for an activity whose objective is stand density reduction creates an internal contradiction. A Licensed Forester's prescription, combined with location in a high-hazard wildfire zone, provides equivalent assurance that the treatment is genuine forest health work, not commercial timber harvest relabeled as fuels reduction. This interpretation aligns with how Charm's Colorado biomass was approved and is consistent with the module's underlying policy objective: ensuring that biomass credits support rather than undermine forest sustainability.</w:t>
      </w:r>
    </w:p>
    <w:p>
      <w:pPr>
        <w:pStyle w:val="Heading2"/>
        <w:spacing w:before="120" w:after="120"/>
      </w:pPr>
      <w:r>
        <w:t>4.3 SC1.3 Primary Forest Sourcing — Extension of Exemption</w:t>
      </w:r>
    </w:p>
    <w:p>
      <w:pPr>
        <w:spacing w:line="276" w:lineRule="auto" w:after="180"/>
      </w:pPr>
      <w:r>
        <w:t>For biomass sourcing from operations satisfying the SC1.1 and SC1.2 framework above, the SC1.3 exemption from primary forest sourcing restrictions would apply, consistent with the government program pathway. Charm would provide chain-of-custody documentation confirming the source forest and treatment unit, establishing absence of primary forest sourcing.</w:t>
      </w:r>
    </w:p>
    <w:p>
      <w:pPr>
        <w:pStyle w:val="Heading2"/>
        <w:spacing w:before="120" w:after="120"/>
      </w:pPr>
      <w:r>
        <w:t>4.4 CC2 Counterfactual Storage — Zero Counterfactual for Qualifying Operations</w:t>
      </w:r>
    </w:p>
    <w:p>
      <w:pPr>
        <w:spacing w:line="276" w:lineRule="auto" w:after="240"/>
      </w:pPr>
      <w:r>
        <w:t>Charm proposes that the CC2 zero-counterfactual pathway be extended to forest biomass from Oregon private-land fuels reduction operations satisfying the evidence framework in Sections 4.1 and 4.2. The zero-counterfactual designation is warranted because the counterfactual fate of this material is identical to that of government-program fuels reduction biomass.</w:t>
        <w:br/>
        <w:br/>
        <w:t>Supporting evidence would include:</w:t>
        <w:br/>
        <w:br/>
        <w:t>1. Licensed Forester Attestation of Counterfactual Fate: The prescribing forester would attest, as part of the prescription documentation, to the expected fate of treatment residue absent utilization for pyrolysis (e.g., pile burn, mastication broadcast, decomposition in place). This is standard information in any treatment prescription and is often specified in the burn permit or slash disposal plan.</w:t>
        <w:br/>
        <w:br/>
        <w:t>2. Burn Permit or Slash Disposal Plan: Where available, a copy of the air district burn permit or the slash disposal section of the Notification of Operations, confirming that the regulatory-approved disposal method for residue is open burning.</w:t>
        <w:br/>
        <w:br/>
        <w:t>3. Market Leakage Pathways: For biomass that has been processed through a wood products facility or aggregation point prior to delivery to Charm, documentation satisfying Prohibited Feedstock PF2 criteria—demonstrating that the material was non-marketable or marketed only for bioenergy, landscaping, or mulch over the previous 2 years—would further support the zero-counterfactual designation.</w:t>
        <w:br/>
        <w:br/>
        <w:t>Rationale: The module's CC2 exemption for government-program biomass implicitly recognizes that small-diameter timber, brush, and slash from fuels reduction in the Western US has a well-established counterfactual fate: pile burn or decomposition. Extending this recognition to Oregon's regulatory-pathway private fuels reduction is not a concession—it is a logical extension of the module's own reasoning. The institutional pathway (state-regulated private operation vs. grant-funded government program) does not alter the physical fate of the material.</w:t>
      </w:r>
    </w:p>
    <w:p>
      <w:pPr>
        <w:pStyle w:val="Heading1"/>
        <w:spacing w:before="240" w:after="120"/>
      </w:pPr>
      <w:r>
        <w:t>5. Chain of Custody</w:t>
      </w:r>
    </w:p>
    <w:p>
      <w:pPr>
        <w:spacing w:line="276" w:lineRule="auto" w:after="240"/>
      </w:pPr>
      <w:r>
        <w:t>Charm will maintain complete chain-of-custody documentation from the treatment unit to Charm's pyrolysis facility, consistent with module requirements. Documentation will include:</w:t>
        <w:br/>
        <w:br/>
        <w:t>• Parcel identification (tax lot number or equivalent) and treatment unit location</w:t>
        <w:br/>
        <w:t>• Copy of the Notification of Operations (NOO) filed with Oregon Department of Forestry</w:t>
        <w:br/>
        <w:t>• Copy of the Licensed Forester's treatment prescription</w:t>
        <w:br/>
        <w:t>• Certified scale tickets for biomass delivered to Charm's facility</w:t>
        <w:br/>
        <w:t>• Bills of lading for all transportation legs</w:t>
        <w:br/>
        <w:t>• Supplier declaration confirming the biomass originates from the identified treatment unit and has not been commingled with non-qualifying biomass</w:t>
        <w:br/>
        <w:br/>
        <w:t>This documentation package provides traceability and auditability equivalent to or exceeding typical government-program aggregation pathways, where commingling with non-program material through log yards is routine.</w:t>
      </w:r>
    </w:p>
    <w:p>
      <w:pPr>
        <w:pStyle w:val="Heading1"/>
        <w:spacing w:before="240" w:after="180"/>
      </w:pPr>
      <w:r>
        <w:t>6. Summary: Module Requirements vs. Oregon Evidence Pathways</w:t>
      </w:r>
    </w:p>
    <w:tbl>
      <w:tblPr>
        <w:tblStyle w:val="LightGrid-Accent1"/>
        <w:tblW w:type="auto" w:w="0"/>
        <w:tblLook w:firstColumn="1" w:firstRow="1" w:lastColumn="0" w:lastRow="0" w:noHBand="0" w:noVBand="1" w:val="04A0"/>
      </w:tblPr>
      <w:tblGrid>
        <w:gridCol w:w="2160"/>
        <w:gridCol w:w="3600"/>
        <w:gridCol w:w="4608"/>
      </w:tblGrid>
      <w:tr>
        <w:tc>
          <w:tcPr>
            <w:tcW w:type="dxa" w:w="3120"/>
          </w:tcPr>
          <w:p>
            <w:pPr>
              <w:spacing w:line="264" w:lineRule="auto" w:after="60"/>
            </w:pPr>
            <w:r>
              <w:rPr>
                <w:b/>
                <w:sz w:val="20"/>
              </w:rPr>
              <w:t>Module Provision</w:t>
            </w:r>
          </w:p>
        </w:tc>
        <w:tc>
          <w:tcPr>
            <w:tcW w:type="dxa" w:w="3120"/>
          </w:tcPr>
          <w:p>
            <w:pPr>
              <w:spacing w:line="264" w:lineRule="auto" w:after="60"/>
            </w:pPr>
            <w:r>
              <w:rPr>
                <w:b/>
                <w:sz w:val="20"/>
              </w:rPr>
              <w:t>Current Requirement (Non-Govt)</w:t>
            </w:r>
          </w:p>
        </w:tc>
        <w:tc>
          <w:tcPr>
            <w:tcW w:type="dxa" w:w="3120"/>
          </w:tcPr>
          <w:p>
            <w:pPr>
              <w:spacing w:line="264" w:lineRule="auto" w:after="60"/>
            </w:pPr>
            <w:r>
              <w:rPr>
                <w:b/>
                <w:sz w:val="20"/>
              </w:rPr>
              <w:t>Proposed Oregon Alternative</w:t>
            </w:r>
          </w:p>
        </w:tc>
      </w:tr>
      <w:tr>
        <w:tc>
          <w:tcPr>
            <w:tcW w:type="dxa" w:w="3120"/>
          </w:tcPr>
          <w:p>
            <w:pPr>
              <w:spacing w:line="264" w:lineRule="auto" w:after="60"/>
            </w:pPr>
            <w:r>
              <w:rPr>
                <w:sz w:val="20"/>
              </w:rPr>
              <w:t>SC1.1</w:t>
            </w:r>
          </w:p>
        </w:tc>
        <w:tc>
          <w:tcPr>
            <w:tcW w:type="dxa" w:w="3120"/>
          </w:tcPr>
          <w:p>
            <w:pPr>
              <w:spacing w:line="264" w:lineRule="auto" w:after="60"/>
            </w:pPr>
            <w:r>
              <w:rPr>
                <w:sz w:val="20"/>
              </w:rPr>
              <w:t>FSC/PEFC/SFI certification or independent third-party risk assessment</w:t>
            </w:r>
          </w:p>
        </w:tc>
        <w:tc>
          <w:tcPr>
            <w:tcW w:type="dxa" w:w="3120"/>
          </w:tcPr>
          <w:p>
            <w:pPr>
              <w:spacing w:line="264" w:lineRule="auto" w:after="60"/>
            </w:pPr>
            <w:r>
              <w:rPr>
                <w:sz w:val="20"/>
              </w:rPr>
              <w:t>Oregon Department of Forestry Notification of Operations + Licensed Forester prescription + confirmation of wildfire hazard zone location</w:t>
            </w:r>
          </w:p>
        </w:tc>
      </w:tr>
      <w:tr>
        <w:tc>
          <w:tcPr>
            <w:tcW w:type="dxa" w:w="3120"/>
          </w:tcPr>
          <w:p>
            <w:pPr>
              <w:spacing w:line="264" w:lineRule="auto" w:after="60"/>
            </w:pPr>
            <w:r>
              <w:rPr>
                <w:sz w:val="20"/>
              </w:rPr>
              <w:t>SC1.2</w:t>
            </w:r>
          </w:p>
        </w:tc>
        <w:tc>
          <w:tcPr>
            <w:tcW w:type="dxa" w:w="3120"/>
          </w:tcPr>
          <w:p>
            <w:pPr>
              <w:spacing w:line="264" w:lineRule="auto" w:after="60"/>
            </w:pPr>
            <w:r>
              <w:rPr>
                <w:sz w:val="20"/>
              </w:rPr>
              <w:t>Independent third-party assessment of 5-year forest carbon stock trends OR UNFCCC inventory evidence</w:t>
            </w:r>
          </w:p>
        </w:tc>
        <w:tc>
          <w:tcPr>
            <w:tcW w:type="dxa" w:w="3120"/>
          </w:tcPr>
          <w:p>
            <w:pPr>
              <w:spacing w:line="264" w:lineRule="auto" w:after="60"/>
            </w:pPr>
            <w:r>
              <w:rPr>
                <w:sz w:val="20"/>
              </w:rPr>
              <w:t>Extend government program exemption to Licensed Forester-prescribed fuels reduction in mapped high/very-high wildfire hazard zones</w:t>
            </w:r>
          </w:p>
        </w:tc>
      </w:tr>
      <w:tr>
        <w:tc>
          <w:tcPr>
            <w:tcW w:type="dxa" w:w="3120"/>
          </w:tcPr>
          <w:p>
            <w:pPr>
              <w:spacing w:line="264" w:lineRule="auto" w:after="60"/>
            </w:pPr>
            <w:r>
              <w:rPr>
                <w:sz w:val="20"/>
              </w:rPr>
              <w:t>CC2 / Counterfactual</w:t>
            </w:r>
          </w:p>
        </w:tc>
        <w:tc>
          <w:tcPr>
            <w:tcW w:type="dxa" w:w="3120"/>
          </w:tcPr>
          <w:p>
            <w:pPr>
              <w:spacing w:line="264" w:lineRule="auto" w:after="60"/>
            </w:pPr>
            <w:r>
              <w:rPr>
                <w:sz w:val="20"/>
              </w:rPr>
              <w:t>Not available; must use CC1 (15-year sequestration proof) or CC3 (full counterfactual quantification)</w:t>
            </w:r>
          </w:p>
        </w:tc>
        <w:tc>
          <w:tcPr>
            <w:tcW w:type="dxa" w:w="3120"/>
          </w:tcPr>
          <w:p>
            <w:pPr>
              <w:spacing w:line="264" w:lineRule="auto" w:after="60"/>
            </w:pPr>
            <w:r>
              <w:rPr>
                <w:sz w:val="20"/>
              </w:rPr>
              <w:t>Extend CC2 zero-counterfactual to qualifying Oregon fuels reduction with Licensed Forester attestation of counterfactual fate + burn permit/slash disposal evidence</w:t>
            </w:r>
          </w:p>
        </w:tc>
      </w:tr>
    </w:tbl>
    <w:p/>
    <w:p>
      <w:pPr>
        <w:pStyle w:val="Heading1"/>
        <w:spacing w:before="240" w:after="120"/>
      </w:pPr>
      <w:r>
        <w:t>7. Requested Outcome</w:t>
      </w:r>
    </w:p>
    <w:p>
      <w:pPr>
        <w:spacing w:line="276" w:lineRule="auto" w:after="240"/>
      </w:pPr>
      <w:r>
        <w:t>Charm is not proposing to weaken the Biomass Feedstock Accounting Module's sustainability or counterfactual criteria. We are proposing that Isometric recognize Oregon's state-regulated forest management framework as satisfying the policy objectives underlying the "government mandated, managed or otherwise supported" language in the module.</w:t>
        <w:br/>
        <w:br/>
        <w:t>The proposed Oregon alternative evidence pathway is:</w:t>
        <w:br/>
        <w:br/>
        <w:t>• Aligned with how Colorado biomass was approved</w:t>
        <w:br/>
        <w:t>• Better integrated with the actual institutional structure governing private forestry in Oregon</w:t>
        <w:br/>
        <w:t>• More auditable than typical government-program biomass aggregation, where commingling is routine</w:t>
        <w:br/>
        <w:t>• Proportionate to the environmental risk profile of the feedstock (small-diameter residues from prescribed fuels reduction in high-hazard zones)</w:t>
        <w:br/>
        <w:br/>
        <w:t>We request a working session with the Isometric Science Team to review this proposal. If the framework is directionally acceptable, we propose implementing a pilot approach for the next two reporting periods, scoped to one or two specific feedstock suppliers and treatment areas, with Isometric's advance concurrence on the evidence package and specific guardrails for monitoring and verification.</w:t>
        <w:br/>
        <w:br/>
        <w:t>This proactive engagement allows Charm to establish Oregon sourcing relationships with full protocol clarity and positions Isometric to benefit from a robust, auditable feedstock stream that advances both forest health and CDR objectives.</w:t>
      </w:r>
    </w:p>
    <w:p>
      <w:pPr>
        <w:spacing w:before="120"/>
      </w:pPr>
      <w:r>
        <w:rPr>
          <w:i/>
          <w:sz w:val="20"/>
        </w:rPr>
        <w:t>Prepared by: Max Lavine, Carbon Protocol and Verification Lead, Charm Industrial</w:t>
      </w:r>
    </w:p>
    <w:p>
      <w:r>
        <w:rPr>
          <w:i/>
          <w:sz w:val="20"/>
        </w:rPr>
        <w:t>Contact: max@charmindustrial.com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