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64"/>
      </w:pPr>
      <w:r>
        <w:rPr>
          <w:b/>
          <w:bCs/>
          <w:color w:val="1B3A5C"/>
          <w:sz w:val="28"/>
          <w:szCs w:val="28"/>
        </w:rPr>
        <w:t xml:space="preserve">Charm Industrial CDR Protocol Framework</w:t>
      </w:r>
    </w:p>
    <w:p>
      <w:pPr>
        <w:spacing w:after="160" w:line="264"/>
      </w:pPr>
      <w:r>
        <w:rPr>
          <w:i/>
          <w:iCs/>
          <w:color w:val="555555"/>
          <w:sz w:val="20"/>
          <w:szCs w:val="20"/>
        </w:rPr>
        <w:t xml:space="preserve">Summary of Applicable Isometric Protocols &amp; Implications for Period Reporting</w:t>
      </w:r>
    </w:p>
    <w:p>
      <w:pPr>
        <w:pBdr>
          <w:bottom w:val="single" w:color="2E5D8A" w:sz="4" w:space="1"/>
        </w:pBdr>
        <w:spacing w:after="200"/>
      </w:pPr>
      <w:r>
        <w:rPr>
          <w:color w:val="777777"/>
          <w:sz w:val="18"/>
          <w:szCs w:val="18"/>
        </w:rPr>
        <w:t xml:space="preserve">Prepared by Max Lavine  |  March 2026</w:t>
      </w:r>
    </w:p>
    <w:p>
      <w:pPr>
        <w:pStyle w:val="Heading1"/>
      </w:pPr>
      <w:r>
        <w:t xml:space="preserve">1. Overview</w:t>
      </w:r>
    </w:p>
    <w:p>
      <w:pPr>
        <w:spacing w:after="160" w:line="264"/>
      </w:pPr>
      <w:r>
        <w:rPr>
          <w:sz w:val="21"/>
          <w:szCs w:val="21"/>
        </w:rPr>
        <w:t xml:space="preserve">Charm Industrial operates under the </w:t>
      </w:r>
      <w:hyperlink w:history="1" r:id="rIdpmfceuvypnm8zc4w0mhku">
        <w:r>
          <w:rPr>
            <w:rStyle w:val="Hyperlink"/>
            <w:sz w:val="21"/>
            <w:szCs w:val="21"/>
          </w:rPr>
          <w:t xml:space="preserve">Isometric Standard v1.9</w:t>
        </w:r>
      </w:hyperlink>
      <w:r>
        <w:rPr>
          <w:sz w:val="21"/>
          <w:szCs w:val="21"/>
        </w:rPr>
        <w:t xml:space="preserve">, the overarching framework for CDR credits issued through the Isometric Registry. Charm’s bio-oil geological storage pathway is governed by a primary protocol, two site-specific storage modules, and four supporting accounting modules. Together these define how removals are quantified, verified, and reported through Isometric’s Certify platform, with independent verification by 350Solutions.</w:t>
      </w:r>
    </w:p>
    <w:p>
      <w:pPr>
        <w:pStyle w:val="Heading1"/>
      </w:pPr>
      <w:r>
        <w:t xml:space="preserve">2. Applicable Protocols &amp; Modules</w:t>
      </w:r>
    </w:p>
    <w:p>
      <w:pPr>
        <w:spacing w:after="160" w:line="264"/>
      </w:pPr>
      <w:r>
        <w:rPr>
          <w:b/>
          <w:bCs/>
          <w:sz w:val="21"/>
          <w:szCs w:val="21"/>
        </w:rPr>
        <w:t xml:space="preserve">Primary protocol: </w:t>
      </w:r>
      <w:hyperlink w:history="1" r:id="rIdqmqako-qzgzrnv-nnjk1f">
        <w:r>
          <w:rPr>
            <w:rStyle w:val="Hyperlink"/>
            <w:sz w:val="21"/>
            <w:szCs w:val="21"/>
          </w:rPr>
          <w:t xml:space="preserve">Bio-oil Geological Storage Protocol v1.1</w:t>
        </w:r>
      </w:hyperlink>
      <w:r>
        <w:rPr>
          <w:sz w:val="21"/>
          <w:szCs w:val="21"/>
        </w:rPr>
        <w:t xml:space="preserve"> — defines the core removal equation (CO₂eStored – CO₂eCounterfactual – CO₂eEmissions) applied to every injection batch.</w:t>
      </w:r>
    </w:p>
    <w:p>
      <w:pPr>
        <w:spacing w:after="160" w:line="264"/>
      </w:pPr>
      <w:r>
        <w:rPr>
          <w:b/>
          <w:bCs/>
          <w:sz w:val="21"/>
          <w:szCs w:val="21"/>
        </w:rPr>
        <w:t xml:space="preserve">Storage modules (site-specific):</w:t>
      </w:r>
    </w:p>
    <w:p>
      <w:pPr>
        <w:pStyle w:val="ListParagraph"/>
        <w:numPr>
          <w:ilvl w:val="0"/>
          <w:numId w:val="2"/>
        </w:numPr>
        <w:spacing w:after="60" w:line="264"/>
      </w:pPr>
      <w:hyperlink w:history="1" r:id="rIdfgysy8fizjipwy4zhf2rj">
        <w:r>
          <w:rPr>
            <w:rStyle w:val="Hyperlink"/>
            <w:sz w:val="21"/>
            <w:szCs w:val="21"/>
          </w:rPr>
          <w:t xml:space="preserve">Bio-oil Storage in Salt Caverns v1.1</w:t>
        </w:r>
      </w:hyperlink>
      <w:r>
        <w:rPr>
          <w:sz w:val="21"/>
          <w:szCs w:val="21"/>
        </w:rPr>
        <w:t xml:space="preserve"> — governed Vaulted Deep, Kansas (Mar 2024–Jul 2025). Very Low Risk, 2% buffer. Post-injection; KDHE monitoring ongoing.</w:t>
      </w:r>
    </w:p>
    <w:p>
      <w:pPr>
        <w:pStyle w:val="ListParagraph"/>
        <w:numPr>
          <w:ilvl w:val="0"/>
          <w:numId w:val="2"/>
        </w:numPr>
        <w:spacing w:after="120" w:line="264"/>
      </w:pPr>
      <w:hyperlink w:history="1" r:id="rId1l9pvpwom3jeed46blrmx">
        <w:r>
          <w:rPr>
            <w:rStyle w:val="Hyperlink"/>
            <w:sz w:val="21"/>
            <w:szCs w:val="21"/>
          </w:rPr>
          <w:t xml:space="preserve">Bio-oil Storage in Permeable Reservoirs v1.1</w:t>
        </w:r>
      </w:hyperlink>
      <w:r>
        <w:rPr>
          <w:sz w:val="21"/>
          <w:szCs w:val="21"/>
        </w:rPr>
        <w:t xml:space="preserve"> — governs Basco 6, Louisiana (Aug 2025–present). Low Risk, 5% buffer.</w:t>
      </w:r>
    </w:p>
    <w:p>
      <w:pPr>
        <w:spacing w:after="160" w:line="264"/>
      </w:pPr>
      <w:r>
        <w:rPr>
          <w:b/>
          <w:bCs/>
          <w:sz w:val="21"/>
          <w:szCs w:val="21"/>
        </w:rPr>
        <w:t xml:space="preserve">Supporting accounting modules:</w:t>
      </w:r>
    </w:p>
    <w:p>
      <w:pPr>
        <w:spacing w:after="160" w:line="264"/>
      </w:pPr>
      <w:hyperlink w:history="1" r:id="rIdzcakcpmlylz3radewlfrf">
        <w:r>
          <w:rPr>
            <w:rStyle w:val="Hyperlink"/>
            <w:sz w:val="21"/>
            <w:szCs w:val="21"/>
          </w:rPr>
          <w:t xml:space="preserve">Biomass Feedstock Accounting v1.3</w:t>
        </w:r>
      </w:hyperlink>
      <w:r>
        <w:rPr>
          <w:sz w:val="21"/>
          <w:szCs w:val="21"/>
        </w:rPr>
        <w:t xml:space="preserve"> (feedstock eligibility, counterfactuals, market leakage); </w:t>
      </w:r>
      <w:hyperlink w:history="1" r:id="rIdsmamldccciewrwgmm3hgp">
        <w:r>
          <w:rPr>
            <w:rStyle w:val="Hyperlink"/>
            <w:sz w:val="21"/>
            <w:szCs w:val="21"/>
          </w:rPr>
          <w:t xml:space="preserve">Energy Use Accounting v1.3</w:t>
        </w:r>
      </w:hyperlink>
      <w:r>
        <w:rPr>
          <w:sz w:val="21"/>
          <w:szCs w:val="21"/>
        </w:rPr>
        <w:t xml:space="preserve"> (electricity and fuel at all facilities); </w:t>
      </w:r>
      <w:hyperlink w:history="1" r:id="rIdi4vs3ibqn7apznazwdevc">
        <w:r>
          <w:rPr>
            <w:rStyle w:val="Hyperlink"/>
            <w:sz w:val="21"/>
            <w:szCs w:val="21"/>
          </w:rPr>
          <w:t xml:space="preserve">Transportation Emissions Accounting v1.1</w:t>
        </w:r>
      </w:hyperlink>
      <w:r>
        <w:rPr>
          <w:sz w:val="21"/>
          <w:szCs w:val="21"/>
        </w:rPr>
        <w:t xml:space="preserve"> (process and embodied transport emissions by mode); </w:t>
      </w:r>
      <w:hyperlink w:history="1" r:id="rIdkxvptn2h9rqrlpsfii4dq">
        <w:r>
          <w:rPr>
            <w:rStyle w:val="Hyperlink"/>
            <w:sz w:val="21"/>
            <w:szCs w:val="21"/>
          </w:rPr>
          <w:t xml:space="preserve">GHG Accounting v1.0</w:t>
        </w:r>
      </w:hyperlink>
      <w:r>
        <w:rPr>
          <w:sz w:val="21"/>
          <w:szCs w:val="21"/>
        </w:rPr>
        <w:t xml:space="preserve"> (cross-pathway consequential analysis per ISO 14064-2:2019, embodied emissions).</w:t>
      </w:r>
    </w:p>
    <w:p>
      <w:pPr>
        <w:pStyle w:val="Heading1"/>
      </w:pPr>
      <w:r>
        <w:t xml:space="preserve">3. Production Period vs. Reporting Period</w:t>
      </w:r>
    </w:p>
    <w:p>
      <w:pPr>
        <w:spacing w:after="160" w:line="264"/>
      </w:pPr>
      <w:r>
        <w:rPr>
          <w:sz w:val="21"/>
          <w:szCs w:val="21"/>
        </w:rPr>
        <w:t xml:space="preserve">A key structural feature of Charm’s MRV is the distinction between </w:t>
      </w:r>
      <w:r>
        <w:rPr>
          <w:b/>
          <w:bCs/>
          <w:sz w:val="21"/>
          <w:szCs w:val="21"/>
        </w:rPr>
        <w:t xml:space="preserve">production periods</w:t>
      </w:r>
      <w:r>
        <w:rPr>
          <w:sz w:val="21"/>
          <w:szCs w:val="21"/>
        </w:rPr>
        <w:t xml:space="preserve"> and </w:t>
      </w:r>
      <w:r>
        <w:rPr>
          <w:b/>
          <w:bCs/>
          <w:sz w:val="21"/>
          <w:szCs w:val="21"/>
        </w:rPr>
        <w:t xml:space="preserve">reporting periods</w:t>
      </w:r>
      <w:r>
        <w:rPr>
          <w:sz w:val="21"/>
          <w:szCs w:val="21"/>
        </w:rPr>
        <w:t xml:space="preserve">. A production period (PP) is the time window during which bio-oil is produced at a pyrolysis facility; each PP carries its own carbon intensity (CI) value reflecting that facility’s energy inputs and process emissions. A reporting period (RP) is the date range covered by a single GHG statement, defined by which injection batches were physically injected at the storage site.</w:t>
      </w:r>
    </w:p>
    <w:p>
      <w:pPr>
        <w:spacing w:after="160" w:line="264"/>
      </w:pPr>
      <w:r>
        <w:rPr>
          <w:sz w:val="21"/>
          <w:szCs w:val="21"/>
        </w:rPr>
        <w:t xml:space="preserve">These frames often diverge: oil produced in one PP may be transported and injected weeks or months later, potentially spanning multiple RPs. The PP’s CI follows the oil regardless of when injection occurs. Meanwhile, site-level emissions (diesel, electricity, embodied materials) are bounded by the RP dates and allocated evenly across all batches injected in that period. The two streams converge in the GHG statement, where each batch’s production-period CI is combined with its share of RP site emissions to compute net removals.</w:t>
      </w:r>
    </w:p>
    <w:p>
      <w:pPr>
        <w:spacing w:after="160" w:line="264"/>
      </w:pPr>
      <w:r>
        <w:rPr>
          <w:sz w:val="21"/>
          <w:szCs w:val="21"/>
        </w:rPr>
        <w:t xml:space="preserve">When a PP’s oil inventory is exhausted during an RP, an inventory reconciliation step captures any remaining unallocated production emissions. Cross-period allocation must be non-overlapping and exhaustive across RPs to ensure no double-counting or omission.</w:t>
      </w:r>
    </w:p>
    <w:p>
      <w:pPr>
        <w:pStyle w:val="Heading1"/>
      </w:pPr>
      <w:r>
        <w:t xml:space="preserve">4. What This Means for Period Reporting</w:t>
      </w:r>
    </w:p>
    <w:p>
      <w:pPr>
        <w:spacing w:after="160" w:line="264"/>
      </w:pPr>
      <w:r>
        <w:rPr>
          <w:sz w:val="21"/>
          <w:szCs w:val="21"/>
        </w:rPr>
        <w:t xml:space="preserve">Each reporting period assembles two parallel data streams into a single GHG statement:</w:t>
      </w:r>
    </w:p>
    <w:p>
      <w:pPr>
        <w:pStyle w:val="Heading2"/>
      </w:pPr>
      <w:r>
        <w:t xml:space="preserve">Per-Batch Data</w:t>
      </w:r>
    </w:p>
    <w:p>
      <w:pPr>
        <w:spacing w:after="160" w:line="264"/>
      </w:pPr>
      <w:r>
        <w:rPr>
          <w:sz w:val="21"/>
          <w:szCs w:val="21"/>
        </w:rPr>
        <w:t xml:space="preserve">For each injection batch: scale tickets, BOLs, CHN lab results, transport documentation, and the applicable production period CI. The gross-to-net calculation must reconcile across internal records, Certify components, and the GHG statement.</w:t>
      </w:r>
    </w:p>
    <w:p>
      <w:pPr>
        <w:pStyle w:val="Heading2"/>
      </w:pPr>
      <w:r>
        <w:t xml:space="preserve">Site-Level Data</w:t>
      </w:r>
    </w:p>
    <w:p>
      <w:pPr>
        <w:spacing w:after="160" w:line="264"/>
      </w:pPr>
      <w:r>
        <w:rPr>
          <w:sz w:val="21"/>
          <w:szCs w:val="21"/>
        </w:rPr>
        <w:t xml:space="preserve">All RP-bounded site emissions: fuel and electricity consumption, embodied materials (argon, brine, methanol), equipment amortization, non-injection transport, and storage site monitoring. BCU and REC offsets applied where applicable.</w:t>
      </w:r>
    </w:p>
    <w:p>
      <w:pPr>
        <w:pStyle w:val="Heading2"/>
      </w:pPr>
      <w:r>
        <w:t xml:space="preserve">Verification</w:t>
      </w:r>
    </w:p>
    <w:p>
      <w:pPr>
        <w:spacing w:after="160" w:line="264"/>
      </w:pPr>
      <w:r>
        <w:rPr>
          <w:sz w:val="21"/>
          <w:szCs w:val="21"/>
        </w:rPr>
        <w:t xml:space="preserve">The assembled GHG statement is submitted through Certify for verification by 350Solutions. The Isometric Standard’s 5% materiality threshold and conservative estimation requirement (≤16th percentile) apply. Buffer pool deductions (2% Vaulted, 5% Basco) are applied before credits are issued. Biochar co-products, if claimed, are accounted separately under </w:t>
      </w:r>
      <w:hyperlink w:history="1" r:id="rIde6uu3pgnqe_0lstjbymn3">
        <w:r>
          <w:rPr>
            <w:rStyle w:val="Hyperlink"/>
            <w:sz w:val="21"/>
            <w:szCs w:val="21"/>
          </w:rPr>
          <w:t xml:space="preserve">Biochar Production and Storage v1.2</w:t>
        </w:r>
      </w:hyperlink>
      <w:r>
        <w:rPr>
          <w:sz w:val="21"/>
          <w:szCs w:val="21"/>
        </w:rPr>
        <w:t xml:space="preserve"> and </w:t>
      </w:r>
      <w:hyperlink w:history="1" r:id="rIdnryio73uuknw3hiyqz0tb">
        <w:r>
          <w:rPr>
            <w:rStyle w:val="Hyperlink"/>
            <w:sz w:val="21"/>
            <w:szCs w:val="21"/>
          </w:rPr>
          <w:t xml:space="preserve">Biochar Storage in Soil Environments v1.2</w:t>
        </w:r>
      </w:hyperlink>
      <w:r>
        <w:rPr>
          <w:sz w:val="21"/>
          <w:szCs w:val="21"/>
        </w:rPr>
        <w:t xml:space="preserve">.</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B3A5C"/>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E5D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mfceuvypnm8zc4w0mhku" Type="http://schemas.openxmlformats.org/officeDocument/2006/relationships/hyperlink" Target="https://registry.isometric.com/protocol/isometric-standard" TargetMode="External"/><Relationship Id="rIdqmqako-qzgzrnv-nnjk1f" Type="http://schemas.openxmlformats.org/officeDocument/2006/relationships/hyperlink" Target="https://registry.isometric.com/protocol/bio-oil-geological-storage" TargetMode="External"/><Relationship Id="rIdfgysy8fizjipwy4zhf2rj" Type="http://schemas.openxmlformats.org/officeDocument/2006/relationships/hyperlink" Target="https://registry.isometric.com/protocol/bio-oil-storage-in-salt-caverns" TargetMode="External"/><Relationship Id="rId1l9pvpwom3jeed46blrmx" Type="http://schemas.openxmlformats.org/officeDocument/2006/relationships/hyperlink" Target="https://registry.isometric.com/protocol/bio-oil-storage-in-permeable-reservoirs" TargetMode="External"/><Relationship Id="rIdzcakcpmlylz3radewlfrf" Type="http://schemas.openxmlformats.org/officeDocument/2006/relationships/hyperlink" Target="https://registry.isometric.com/protocol/biomass-feedstock-accounting" TargetMode="External"/><Relationship Id="rIdsmamldccciewrwgmm3hgp" Type="http://schemas.openxmlformats.org/officeDocument/2006/relationships/hyperlink" Target="https://registry.isometric.com/protocol/energy-use-accounting" TargetMode="External"/><Relationship Id="rIdi4vs3ibqn7apznazwdevc" Type="http://schemas.openxmlformats.org/officeDocument/2006/relationships/hyperlink" Target="https://registry.isometric.com/protocol/transportation-emissions-accounting" TargetMode="External"/><Relationship Id="rIdkxvptn2h9rqrlpsfii4dq" Type="http://schemas.openxmlformats.org/officeDocument/2006/relationships/hyperlink" Target="https://registry.isometric.com/protocol/ghg-accounting" TargetMode="External"/><Relationship Id="rIde6uu3pgnqe_0lstjbymn3" Type="http://schemas.openxmlformats.org/officeDocument/2006/relationships/hyperlink" Target="https://registry.isometric.com/protocol/biochar-production-and-storage" TargetMode="External"/><Relationship Id="rIdnryio73uuknw3hiyqz0tb" Type="http://schemas.openxmlformats.org/officeDocument/2006/relationships/hyperlink" Target="https://registry.isometric.com/protocol/biochar-storage-in-soil-environment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2026-03-30T19:49:01.802Z</dcterms:created>
  <dcterms:modified xsi:type="dcterms:W3CDTF">2026-03-30T19:49:01.806Z</dcterms:modified>
</cp:coreProperties>
</file>

<file path=docProps/custom.xml><?xml version="1.0" encoding="utf-8"?>
<Properties xmlns="http://schemas.openxmlformats.org/officeDocument/2006/custom-properties" xmlns:vt="http://schemas.openxmlformats.org/officeDocument/2006/docPropsVTypes"/>
</file>