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2"/>
          <w:szCs w:val="22"/>
        </w:rPr>
        <w:t xml:space="preserve">CHARM INDUSTRIAL</w:t>
      </w:r>
    </w:p>
    <w:p>
      <w:pPr>
        <w:pStyle w:val="Heading1"/>
      </w:pPr>
      <w:r>
        <w:t xml:space="preserve">Response to Isometric: Closeout on Biochar Storage in Soil Environments v1.2</w:t>
      </w:r>
    </w:p>
    <w:p>
      <w:r>
        <w:t xml:space="preserve">Date: April 24, 2026</w:t>
      </w:r>
    </w:p>
    <w:p>
      <w:r>
        <w:t xml:space="preserve">From: Max Lavine, Carbon Protocol and Verification Lead, Charm Industrial</w:t>
      </w:r>
    </w:p>
    <w:p>
      <w:r>
        <w:t xml:space="preserve">To: Isometric Science Team</w:t>
      </w:r>
    </w:p>
    <w:p>
      <w:r>
        <w:t xml:space="preserve">Re: Closeout items from your April 17 response</w:t>
      </w:r>
    </w:p>
    <w:p>
      <w:pPr>
        <w:pStyle w:val="Heading2"/>
      </w:pPr>
      <w:r>
        <w:t xml:space="preserve">Purpose</w:t>
      </w:r>
    </w:p>
    <w:p>
      <w:pPr>
        <w:spacing w:after="120"/>
      </w:pPr>
      <w:r>
        <w:t xml:space="preserve">Thanks for the April 17 settlement. This note responds to the two items you flagged: (1) Charm’s proposal for storage in the absence of wetting, in support of the exemption to G-TGR7-0, and (2) confirmation that Charm will satisfy the evidence requirements in §8.5.2 of the v1.2 module. We don’t see other open threads from this review and intend to consider it closed once these are settled.</w:t>
      </w:r>
    </w:p>
    <w:p>
      <w:pPr>
        <w:pStyle w:val="Heading2"/>
      </w:pPr>
      <w:r>
        <w:t xml:space="preserve">1. Storage in the absence of wetting (exemption to G-TGR7-0)</w:t>
      </w:r>
    </w:p>
    <w:p>
      <w:pPr>
        <w:spacing w:after="120"/>
      </w:pPr>
      <w:r>
        <w:t xml:space="preserve">Charm proposes a test-and-handle policy that addresses self-heating and reversal risk on a per-product basis, and confirms that all other stockpiling requirements under R-6E1D-0 will continue to be followed (weatherproof cover, distance from waterways, 12-month duration limit, PDD documentation).</w:t>
      </w:r>
    </w:p>
    <w:p>
      <w:pPr>
        <w:pStyle w:val="ListParagraph"/>
        <w:numPr>
          <w:ilvl w:val="0"/>
          <w:numId w:val="2"/>
        </w:numPr>
      </w:pPr>
      <w:r>
        <w:rPr>
          <w:b/>
          <w:bCs/>
        </w:rPr>
        <w:t xml:space="preserve">Self-heating evaluation. </w:t>
      </w:r>
      <w:r>
        <w:t xml:space="preserve">Each char product (defined by feedstock and pyrolysis technology combination) is evaluated for self-heating risk using an industry-recognized method (e.g., Fauske isothermal basket testing) before that material is placed into stockpile storage.</w:t>
      </w:r>
    </w:p>
    <w:p>
      <w:pPr>
        <w:pStyle w:val="ListParagraph"/>
        <w:numPr>
          <w:ilvl w:val="0"/>
          <w:numId w:val="2"/>
        </w:numPr>
      </w:pPr>
      <w:r>
        <w:rPr>
          <w:b/>
          <w:bCs/>
        </w:rPr>
        <w:t xml:space="preserve">Negative result. </w:t>
      </w:r>
      <w:r>
        <w:t xml:space="preserve">Char that does not exhibit self-heating may be stored wet or dry, in tied-off supersacks under weatherproof cover, in accordance with Charm’s existing EHS safety and handling SOPs.</w:t>
      </w:r>
    </w:p>
    <w:p>
      <w:pPr>
        <w:pStyle w:val="ListParagraph"/>
        <w:numPr>
          <w:ilvl w:val="0"/>
          <w:numId w:val="2"/>
        </w:numPr>
      </w:pPr>
      <w:r>
        <w:rPr>
          <w:b/>
          <w:bCs/>
        </w:rPr>
        <w:t xml:space="preserve">Positive result. </w:t>
      </w:r>
      <w:r>
        <w:t xml:space="preserve">Char that exhibits self-heating triggers a written handling plan, developed and approved by Charm’s EHS Manager, that addresses ignition risk through one or more of: wetting, pelletizing, inertion, reduced stockpile size, or another comparable measure consistent with OSHA general-duty obligations and applicable local fire codes. The plan is documented in the PDD and made available to the VVB on request.</w:t>
      </w:r>
    </w:p>
    <w:p>
      <w:pPr>
        <w:spacing w:after="120"/>
      </w:pPr>
      <w:r>
        <w:t xml:space="preserve">B-series char — Charm’s qualified material today — has been evaluated under this policy. Fauske isothermal basket testing confirms no self-heating risk, and storage will follow our existing EHS handling SOPs without wetting. Any future char qualified for CDR will pass through the same evaluation gate before stockpiling, with the corresponding storage plan reflected in the PDD prior to use. We believe this satisfies the basis on which Isometric will issue the exemption note.</w:t>
      </w:r>
    </w:p>
    <w:p>
      <w:pPr>
        <w:pStyle w:val="Heading2"/>
      </w:pPr>
      <w:r>
        <w:t xml:space="preserve">2. Evidence of biochar field application (§8.5.2 / R-8PBP-0)</w:t>
      </w:r>
    </w:p>
    <w:p>
      <w:pPr>
        <w:spacing w:after="120"/>
      </w:pPr>
      <w:r>
        <w:t xml:space="preserve">Confirmed — Charm will follow the §8.5.2 pathway (project boundary mapping with application records) rather than §8.5.1, and will meet all of its evidence requirements. Specifically:</w:t>
      </w:r>
    </w:p>
    <w:p>
      <w:pPr>
        <w:pStyle w:val="ListParagraph"/>
        <w:numPr>
          <w:ilvl w:val="0"/>
          <w:numId w:val="2"/>
        </w:numPr>
      </w:pPr>
      <w:r>
        <w:rPr>
          <w:b/>
          <w:bCs/>
        </w:rPr>
        <w:t xml:space="preserve">Project boundary / spreading location. </w:t>
      </w:r>
      <w:r>
        <w:t xml:space="preserve">Charm will continue to provide a street address and/or GPS coordinates for each spreading location, consistent with the evidence accepted in prior reporting periods.</w:t>
      </w:r>
    </w:p>
    <w:p>
      <w:pPr>
        <w:pStyle w:val="ListParagraph"/>
        <w:numPr>
          <w:ilvl w:val="0"/>
          <w:numId w:val="2"/>
        </w:numPr>
      </w:pPr>
      <w:r>
        <w:rPr>
          <w:b/>
          <w:bCs/>
        </w:rPr>
        <w:t xml:space="preserve">Application date and quantity. </w:t>
      </w:r>
      <w:r>
        <w:t xml:space="preserve">Charm will add an application date (or date range) and an estimated spreading acreage to its standard sales agreement on a forward basis. For agreements already executed (Brenner), Charm will back-fill the actual application dates and estimated acreage based on grower records, confirmed via written attestation from the offtaker.</w:t>
      </w:r>
    </w:p>
    <w:p>
      <w:pPr>
        <w:spacing w:after="120"/>
      </w:pPr>
      <w:r>
        <w:t xml:space="preserve">Together with the sales agreement and delivery records already in scope, this provides location, date, and quantity attestation for each application event without introducing a new documentation workflow for the grower.</w:t>
      </w:r>
    </w:p>
    <w:p>
      <w:pPr>
        <w:pStyle w:val="Heading2"/>
      </w:pPr>
      <w:r>
        <w:t xml:space="preserve">Next steps</w:t>
      </w:r>
    </w:p>
    <w:p>
      <w:pPr>
        <w:spacing w:after="240"/>
      </w:pPr>
      <w:r>
        <w:t xml:space="preserve">If the above is acceptable, we’ll consider the v1.2 review closed and proceed under this framework starting with the next reporting period. Happy to jump on a call if it’s easier than email.</w:t>
      </w:r>
    </w:p>
    <w:p>
      <w:r>
        <w:t xml:space="preserve"/>
      </w:r>
    </w:p>
    <w:p>
      <w:r>
        <w:t xml:space="preserve">Max Lavine</w:t>
      </w:r>
    </w:p>
    <w:p>
      <w:r>
        <w:t xml:space="preserve">Carbon Protocol and Verification Lead</w:t>
      </w:r>
    </w:p>
    <w:p>
      <w:r>
        <w:t xml:space="preserve">Charm Industrial</w:t>
      </w:r>
    </w:p>
    <w:p>
      <w:r>
        <w:t xml:space="preserve">max@charmindustrial.com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8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Charm Response to Isometric – Biochar v1.2 Closeout</dc:title>
  <dc:creator>Charm Industrial</dc:creator>
  <cp:lastModifiedBy>Un-named</cp:lastModifiedBy>
  <cp:revision>1</cp:revision>
  <dcterms:created xsi:type="dcterms:W3CDTF">2026-04-24T23:29:52.440Z</dcterms:created>
  <dcterms:modified xsi:type="dcterms:W3CDTF">2026-04-24T23:29:52.442Z</dcterms:modified>
</cp:coreProperties>
</file>

<file path=docProps/custom.xml><?xml version="1.0" encoding="utf-8"?>
<Properties xmlns="http://schemas.openxmlformats.org/officeDocument/2006/custom-properties" xmlns:vt="http://schemas.openxmlformats.org/officeDocument/2006/docPropsVTypes"/>
</file>